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F16E" w14:textId="6CD6CF4F" w:rsidR="541448C0" w:rsidRDefault="541448C0">
      <w:r>
        <w:t>Reed Foster, Jack Sheridan</w:t>
      </w:r>
    </w:p>
    <w:p w14:paraId="2C078E63" w14:textId="11186741" w:rsidR="00283500" w:rsidRDefault="64378414">
      <w:r>
        <w:t>Data Wrangling</w:t>
      </w:r>
    </w:p>
    <w:p w14:paraId="44A606C8" w14:textId="141F34C2" w:rsidR="64378414" w:rsidRDefault="64378414" w:rsidP="1B995EBC">
      <w:r>
        <w:t>12/7/2023</w:t>
      </w:r>
    </w:p>
    <w:p w14:paraId="0B8831EF" w14:textId="5C142F42" w:rsidR="1FDB7EA7" w:rsidRDefault="1FDB7EA7" w:rsidP="1B995EBC">
      <w:pPr>
        <w:spacing w:line="257" w:lineRule="auto"/>
        <w:jc w:val="center"/>
      </w:pPr>
      <w:r w:rsidRPr="1B995EBC">
        <w:rPr>
          <w:rFonts w:ascii="Calibri" w:eastAsia="Calibri" w:hAnsi="Calibri" w:cs="Calibri"/>
          <w:b/>
          <w:bCs/>
          <w:sz w:val="28"/>
          <w:szCs w:val="28"/>
        </w:rPr>
        <w:t>Project Proposal: Covid 19 Impact Analysis</w:t>
      </w:r>
    </w:p>
    <w:p w14:paraId="54B9927A" w14:textId="6E0EF2DB" w:rsidR="1B995EBC" w:rsidRDefault="1B995EBC" w:rsidP="1B995EBC"/>
    <w:p w14:paraId="1B082C1A" w14:textId="246322D5" w:rsidR="1FDB7EA7" w:rsidRDefault="1FDB7EA7" w:rsidP="1B995EBC">
      <w:pPr>
        <w:spacing w:line="257" w:lineRule="auto"/>
      </w:pPr>
      <w:r w:rsidRPr="1B995EBC">
        <w:rPr>
          <w:rFonts w:ascii="Calibri" w:eastAsia="Calibri" w:hAnsi="Calibri" w:cs="Calibri"/>
          <w:b/>
          <w:bCs/>
          <w:sz w:val="28"/>
          <w:szCs w:val="28"/>
        </w:rPr>
        <w:t>1. Introduction:</w:t>
      </w:r>
      <w:r w:rsidRPr="1B995EBC">
        <w:rPr>
          <w:rFonts w:ascii="Calibri" w:eastAsia="Calibri" w:hAnsi="Calibri" w:cs="Calibri"/>
          <w:sz w:val="28"/>
          <w:szCs w:val="28"/>
        </w:rPr>
        <w:t xml:space="preserve"> </w:t>
      </w:r>
    </w:p>
    <w:p w14:paraId="2902AF95" w14:textId="74794A4A" w:rsidR="1FDB7EA7" w:rsidRDefault="1FDB7EA7" w:rsidP="337D62C9">
      <w:pPr>
        <w:spacing w:line="257" w:lineRule="auto"/>
        <w:rPr>
          <w:rFonts w:ascii="Calibri" w:eastAsia="Calibri" w:hAnsi="Calibri" w:cs="Calibri"/>
        </w:rPr>
      </w:pPr>
      <w:r w:rsidRPr="337D62C9">
        <w:rPr>
          <w:rFonts w:ascii="Calibri" w:eastAsia="Calibri" w:hAnsi="Calibri" w:cs="Calibri"/>
        </w:rPr>
        <w:t xml:space="preserve">The COVID-19 pandemic has had far-reaching effects on societies worldwide. The seriousness of this virus has impacted the way people travel, act, and ultimately think. Within this project, we plan to use data provided by </w:t>
      </w:r>
      <w:r w:rsidR="26422236" w:rsidRPr="337D62C9">
        <w:rPr>
          <w:rFonts w:ascii="Calibri" w:eastAsia="Calibri" w:hAnsi="Calibri" w:cs="Calibri"/>
        </w:rPr>
        <w:t>GigaSheet</w:t>
      </w:r>
      <w:r w:rsidRPr="337D62C9">
        <w:rPr>
          <w:rFonts w:ascii="Calibri" w:eastAsia="Calibri" w:hAnsi="Calibri" w:cs="Calibri"/>
        </w:rPr>
        <w:t xml:space="preserve">, The New York Times COVID case count and the Google COVID-19 Mobility Reports to gain understanding on different phases of the virus and its impact on various aspects of society within the state of Iowa. From the impacts on </w:t>
      </w:r>
      <w:r w:rsidR="509A1987" w:rsidRPr="337D62C9">
        <w:rPr>
          <w:rFonts w:ascii="Calibri" w:eastAsia="Calibri" w:hAnsi="Calibri" w:cs="Calibri"/>
        </w:rPr>
        <w:t>people to</w:t>
      </w:r>
      <w:r w:rsidRPr="337D62C9">
        <w:rPr>
          <w:rFonts w:ascii="Calibri" w:eastAsia="Calibri" w:hAnsi="Calibri" w:cs="Calibri"/>
        </w:rPr>
        <w:t xml:space="preserve"> public health</w:t>
      </w:r>
      <w:r w:rsidR="0349D462" w:rsidRPr="337D62C9">
        <w:rPr>
          <w:rFonts w:ascii="Calibri" w:eastAsia="Calibri" w:hAnsi="Calibri" w:cs="Calibri"/>
        </w:rPr>
        <w:t xml:space="preserve"> and</w:t>
      </w:r>
      <w:r w:rsidRPr="337D62C9">
        <w:rPr>
          <w:rFonts w:ascii="Calibri" w:eastAsia="Calibri" w:hAnsi="Calibri" w:cs="Calibri"/>
        </w:rPr>
        <w:t xml:space="preserve"> the food industry, understanding these effects can provide crucial insight into decision making processes in the future. </w:t>
      </w:r>
    </w:p>
    <w:p w14:paraId="188C22D6" w14:textId="053E6509" w:rsidR="1FDB7EA7" w:rsidRDefault="1FDB7EA7" w:rsidP="1B995EBC">
      <w:pPr>
        <w:spacing w:line="257" w:lineRule="auto"/>
      </w:pPr>
      <w:r w:rsidRPr="1B995EBC">
        <w:rPr>
          <w:rFonts w:ascii="Calibri" w:eastAsia="Calibri" w:hAnsi="Calibri" w:cs="Calibri"/>
        </w:rPr>
        <w:t xml:space="preserve"> </w:t>
      </w:r>
    </w:p>
    <w:p w14:paraId="2521EFC8" w14:textId="38364F79" w:rsidR="1FDB7EA7" w:rsidRDefault="1FDB7EA7" w:rsidP="1B995EBC">
      <w:pPr>
        <w:spacing w:line="257" w:lineRule="auto"/>
      </w:pPr>
      <w:r w:rsidRPr="1B995EBC">
        <w:rPr>
          <w:rFonts w:ascii="Calibri" w:eastAsia="Calibri" w:hAnsi="Calibri" w:cs="Calibri"/>
          <w:b/>
          <w:bCs/>
          <w:sz w:val="28"/>
          <w:szCs w:val="28"/>
        </w:rPr>
        <w:t>2. Data:</w:t>
      </w:r>
    </w:p>
    <w:p w14:paraId="64E03110" w14:textId="23B26226" w:rsidR="1FDB7EA7" w:rsidRDefault="1FDB7EA7" w:rsidP="1B995EBC">
      <w:pPr>
        <w:spacing w:line="257" w:lineRule="auto"/>
      </w:pPr>
      <w:r w:rsidRPr="1B995EBC">
        <w:rPr>
          <w:rFonts w:ascii="Calibri" w:eastAsia="Calibri" w:hAnsi="Calibri" w:cs="Calibri"/>
          <w:b/>
          <w:bCs/>
          <w:color w:val="7F7F7F" w:themeColor="text1" w:themeTint="80"/>
        </w:rPr>
        <w:t>Data Set 1:</w:t>
      </w:r>
    </w:p>
    <w:p w14:paraId="61C61A62" w14:textId="45995A67" w:rsidR="1FDB7EA7" w:rsidRDefault="1FDB7EA7" w:rsidP="1B995EBC">
      <w:pPr>
        <w:pStyle w:val="ListParagraph"/>
        <w:numPr>
          <w:ilvl w:val="0"/>
          <w:numId w:val="7"/>
        </w:numPr>
        <w:spacing w:after="0"/>
        <w:rPr>
          <w:rFonts w:ascii="Calibri" w:eastAsia="Calibri" w:hAnsi="Calibri" w:cs="Calibri"/>
        </w:rPr>
      </w:pPr>
      <w:r w:rsidRPr="1B995EBC">
        <w:rPr>
          <w:rFonts w:ascii="Calibri" w:eastAsia="Calibri" w:hAnsi="Calibri" w:cs="Calibri"/>
        </w:rPr>
        <w:t xml:space="preserve">Source: Google Mobility Reports </w:t>
      </w:r>
    </w:p>
    <w:p w14:paraId="1358F3E6" w14:textId="0723F584" w:rsidR="1FDB7EA7" w:rsidRDefault="1FDB7EA7" w:rsidP="1B995EBC">
      <w:pPr>
        <w:pStyle w:val="ListParagraph"/>
        <w:numPr>
          <w:ilvl w:val="0"/>
          <w:numId w:val="7"/>
        </w:numPr>
        <w:spacing w:after="0"/>
        <w:rPr>
          <w:rFonts w:ascii="Calibri" w:eastAsia="Calibri" w:hAnsi="Calibri" w:cs="Calibri"/>
          <w:color w:val="0563C1"/>
          <w:u w:val="single"/>
        </w:rPr>
      </w:pPr>
      <w:r w:rsidRPr="1B995EBC">
        <w:rPr>
          <w:rFonts w:ascii="Calibri" w:eastAsia="Calibri" w:hAnsi="Calibri" w:cs="Calibri"/>
        </w:rPr>
        <w:t xml:space="preserve">Link/Citation: </w:t>
      </w:r>
      <w:hyperlink r:id="rId5">
        <w:r w:rsidRPr="1B995EBC">
          <w:rPr>
            <w:rStyle w:val="Hyperlink"/>
            <w:rFonts w:ascii="Calibri" w:eastAsia="Calibri" w:hAnsi="Calibri" w:cs="Calibri"/>
            <w:color w:val="0563C1"/>
          </w:rPr>
          <w:t>https://www.google.com/covid19/mobility/</w:t>
        </w:r>
      </w:hyperlink>
    </w:p>
    <w:p w14:paraId="4B4F31EC" w14:textId="25B52778" w:rsidR="1FDB7EA7" w:rsidRPr="0055373E" w:rsidRDefault="1FDB7EA7" w:rsidP="1B995EBC">
      <w:pPr>
        <w:spacing w:line="257" w:lineRule="auto"/>
        <w:rPr>
          <w:rFonts w:ascii="Calibri" w:eastAsia="Calibri" w:hAnsi="Calibri" w:cs="Calibri"/>
          <w:color w:val="000000" w:themeColor="text1"/>
        </w:rPr>
      </w:pPr>
      <w:r w:rsidRPr="1B995EBC">
        <w:rPr>
          <w:rFonts w:ascii="Calibri" w:eastAsia="Calibri" w:hAnsi="Calibri" w:cs="Calibri"/>
          <w:color w:val="000000" w:themeColor="text1"/>
        </w:rPr>
        <w:t xml:space="preserve">The first data source we are using in this project is from Google’s Community Mobility Reports. The data provided by this website contains anonymized, aggregated location data from mobile devices to illustrate trends in visits to different types of locations across the entire world. The data set includes insight into various categories of places including retail and recreation, groceries and pharmacies, parks, transit stations, workplaces, and residential areas. The reports were originally designed to assist public health officials in making informed decisions to combat the pandemic. However, it is important to note that the Community Mobility Reports are no longer being updated as of 2022-10-15. Although, all historical data remains publicly available for research purposes. This data helps researchers like us provide valuable insights into how mobility patterns have changed in response to the pandemic. </w:t>
      </w:r>
      <w:r w:rsidR="0055373E">
        <w:rPr>
          <w:rFonts w:ascii="Calibri" w:eastAsia="Calibri" w:hAnsi="Calibri" w:cs="Calibri"/>
          <w:color w:val="000000" w:themeColor="text1"/>
        </w:rPr>
        <w:t xml:space="preserve">We collected </w:t>
      </w:r>
      <w:r w:rsidR="00AA567C">
        <w:rPr>
          <w:rFonts w:ascii="Calibri" w:eastAsia="Calibri" w:hAnsi="Calibri" w:cs="Calibri"/>
          <w:color w:val="000000" w:themeColor="text1"/>
        </w:rPr>
        <w:t>t</w:t>
      </w:r>
      <w:r w:rsidR="0055373E">
        <w:rPr>
          <w:rFonts w:ascii="Calibri" w:eastAsia="Calibri" w:hAnsi="Calibri" w:cs="Calibri"/>
          <w:color w:val="000000" w:themeColor="text1"/>
        </w:rPr>
        <w:t xml:space="preserve">he data via a direct CSV download, in which we then cleaned to look at data only from Iowa. </w:t>
      </w:r>
      <w:r w:rsidRPr="1B995EBC">
        <w:rPr>
          <w:rFonts w:ascii="Calibri" w:eastAsia="Calibri" w:hAnsi="Calibri" w:cs="Calibri"/>
        </w:rPr>
        <w:t xml:space="preserve">Given the immense size of the data file prior to this filter, we thought it would be more relevant and informational to pay attention to the specific effects on the state we are from. </w:t>
      </w:r>
      <w:r w:rsidRPr="1B995EBC">
        <w:rPr>
          <w:rFonts w:ascii="Calibri" w:eastAsia="Calibri" w:hAnsi="Calibri" w:cs="Calibri"/>
          <w:color w:val="000000" w:themeColor="text1"/>
        </w:rPr>
        <w:t>The filtered data include</w:t>
      </w:r>
      <w:r w:rsidR="0055373E">
        <w:rPr>
          <w:rFonts w:ascii="Calibri" w:eastAsia="Calibri" w:hAnsi="Calibri" w:cs="Calibri"/>
          <w:color w:val="000000" w:themeColor="text1"/>
        </w:rPr>
        <w:t>s</w:t>
      </w:r>
      <w:r w:rsidRPr="1B995EBC">
        <w:rPr>
          <w:rFonts w:ascii="Calibri" w:eastAsia="Calibri" w:hAnsi="Calibri" w:cs="Calibri"/>
          <w:color w:val="000000" w:themeColor="text1"/>
        </w:rPr>
        <w:t xml:space="preserve"> the difference in mobility changes from the baseline by county and sector.</w:t>
      </w:r>
    </w:p>
    <w:p w14:paraId="1A32AE13" w14:textId="3A031A77" w:rsidR="1FDB7EA7" w:rsidRDefault="1FDB7EA7" w:rsidP="1B995EBC">
      <w:pPr>
        <w:spacing w:line="257" w:lineRule="auto"/>
      </w:pPr>
      <w:r w:rsidRPr="1B995EBC">
        <w:rPr>
          <w:rFonts w:ascii="Calibri" w:eastAsia="Calibri" w:hAnsi="Calibri" w:cs="Calibri"/>
          <w:color w:val="000000" w:themeColor="text1"/>
        </w:rPr>
        <w:t xml:space="preserve"> </w:t>
      </w:r>
    </w:p>
    <w:p w14:paraId="6624FED0" w14:textId="614CC8AC" w:rsidR="1FDB7EA7" w:rsidRDefault="1FDB7EA7" w:rsidP="1B995EBC">
      <w:pPr>
        <w:spacing w:line="257" w:lineRule="auto"/>
      </w:pPr>
      <w:r w:rsidRPr="1B995EBC">
        <w:rPr>
          <w:rFonts w:ascii="Calibri" w:eastAsia="Calibri" w:hAnsi="Calibri" w:cs="Calibri"/>
          <w:color w:val="000000" w:themeColor="text1"/>
        </w:rPr>
        <w:t xml:space="preserve"> </w:t>
      </w:r>
    </w:p>
    <w:p w14:paraId="700E096F" w14:textId="47067936" w:rsidR="1FDB7EA7" w:rsidRDefault="1FDB7EA7" w:rsidP="1B995EBC">
      <w:pPr>
        <w:spacing w:line="257" w:lineRule="auto"/>
      </w:pPr>
      <w:r w:rsidRPr="1B995EBC">
        <w:rPr>
          <w:rFonts w:ascii="Calibri" w:eastAsia="Calibri" w:hAnsi="Calibri" w:cs="Calibri"/>
          <w:color w:val="000000" w:themeColor="text1"/>
        </w:rPr>
        <w:t xml:space="preserve"> </w:t>
      </w:r>
    </w:p>
    <w:p w14:paraId="1610F876" w14:textId="02D5FE4C" w:rsidR="1FDB7EA7" w:rsidRDefault="1FDB7EA7" w:rsidP="1B995EBC">
      <w:pPr>
        <w:spacing w:line="257" w:lineRule="auto"/>
        <w:rPr>
          <w:rFonts w:ascii="Calibri" w:eastAsia="Calibri" w:hAnsi="Calibri" w:cs="Calibri"/>
          <w:color w:val="000000" w:themeColor="text1"/>
        </w:rPr>
      </w:pPr>
      <w:r w:rsidRPr="1B995EBC">
        <w:rPr>
          <w:rFonts w:ascii="Calibri" w:eastAsia="Calibri" w:hAnsi="Calibri" w:cs="Calibri"/>
          <w:color w:val="000000" w:themeColor="text1"/>
        </w:rPr>
        <w:t xml:space="preserve"> </w:t>
      </w:r>
    </w:p>
    <w:p w14:paraId="0C5A41E9" w14:textId="77777777" w:rsidR="0055373E" w:rsidRDefault="0055373E" w:rsidP="1B995EBC">
      <w:pPr>
        <w:spacing w:line="257" w:lineRule="auto"/>
      </w:pPr>
    </w:p>
    <w:p w14:paraId="2854DB77" w14:textId="4324CB4E" w:rsidR="1FDB7EA7" w:rsidRDefault="1FDB7EA7" w:rsidP="1B995EBC">
      <w:pPr>
        <w:spacing w:line="257" w:lineRule="auto"/>
      </w:pPr>
      <w:r w:rsidRPr="1B995EBC">
        <w:rPr>
          <w:rFonts w:ascii="Calibri" w:eastAsia="Calibri" w:hAnsi="Calibri" w:cs="Calibri"/>
          <w:b/>
          <w:bCs/>
          <w:color w:val="7F7F7F" w:themeColor="text1" w:themeTint="80"/>
        </w:rPr>
        <w:lastRenderedPageBreak/>
        <w:t>Data Set 2:</w:t>
      </w:r>
    </w:p>
    <w:p w14:paraId="354BE337" w14:textId="36C46045" w:rsidR="1FDB7EA7" w:rsidRDefault="1FDB7EA7" w:rsidP="1B995EBC">
      <w:pPr>
        <w:pStyle w:val="ListParagraph"/>
        <w:numPr>
          <w:ilvl w:val="0"/>
          <w:numId w:val="5"/>
        </w:numPr>
        <w:spacing w:after="0"/>
        <w:rPr>
          <w:rFonts w:ascii="Calibri" w:eastAsia="Calibri" w:hAnsi="Calibri" w:cs="Calibri"/>
        </w:rPr>
      </w:pPr>
      <w:r w:rsidRPr="1B995EBC">
        <w:rPr>
          <w:rFonts w:ascii="Calibri" w:eastAsia="Calibri" w:hAnsi="Calibri" w:cs="Calibri"/>
        </w:rPr>
        <w:t>Source: New York Times</w:t>
      </w:r>
    </w:p>
    <w:p w14:paraId="7F85C41A" w14:textId="7EEB3CF7" w:rsidR="1FDB7EA7" w:rsidRDefault="00000000" w:rsidP="1B995EBC">
      <w:pPr>
        <w:pStyle w:val="ListParagraph"/>
        <w:numPr>
          <w:ilvl w:val="0"/>
          <w:numId w:val="5"/>
        </w:numPr>
        <w:spacing w:after="0"/>
        <w:rPr>
          <w:rFonts w:ascii="Calibri" w:eastAsia="Calibri" w:hAnsi="Calibri" w:cs="Calibri"/>
          <w:color w:val="0563C1"/>
          <w:u w:val="single"/>
        </w:rPr>
      </w:pPr>
      <w:hyperlink r:id="rId6">
        <w:r w:rsidR="1FDB7EA7" w:rsidRPr="1B995EBC">
          <w:rPr>
            <w:rStyle w:val="Hyperlink"/>
            <w:rFonts w:ascii="Calibri" w:eastAsia="Calibri" w:hAnsi="Calibri" w:cs="Calibri"/>
            <w:color w:val="0563C1"/>
          </w:rPr>
          <w:t>https://www.nytimes.com/interactive/2021/us/iowa-covid-cases.html</w:t>
        </w:r>
      </w:hyperlink>
    </w:p>
    <w:p w14:paraId="2A02AD7F" w14:textId="47318038" w:rsidR="1FDB7EA7" w:rsidRDefault="1FDB7EA7" w:rsidP="1B995EBC">
      <w:pPr>
        <w:spacing w:line="257" w:lineRule="auto"/>
      </w:pPr>
      <w:r w:rsidRPr="1B995EBC">
        <w:rPr>
          <w:rFonts w:ascii="Calibri" w:eastAsia="Calibri" w:hAnsi="Calibri" w:cs="Calibri"/>
        </w:rPr>
        <w:t>The second dataset use</w:t>
      </w:r>
      <w:r w:rsidR="0055373E">
        <w:rPr>
          <w:rFonts w:ascii="Calibri" w:eastAsia="Calibri" w:hAnsi="Calibri" w:cs="Calibri"/>
        </w:rPr>
        <w:t>d</w:t>
      </w:r>
      <w:r w:rsidRPr="1B995EBC">
        <w:rPr>
          <w:rFonts w:ascii="Calibri" w:eastAsia="Calibri" w:hAnsi="Calibri" w:cs="Calibri"/>
        </w:rPr>
        <w:t xml:space="preserve"> is </w:t>
      </w:r>
      <w:r w:rsidR="0055373E">
        <w:rPr>
          <w:rFonts w:ascii="Calibri" w:eastAsia="Calibri" w:hAnsi="Calibri" w:cs="Calibri"/>
        </w:rPr>
        <w:t xml:space="preserve">from </w:t>
      </w:r>
      <w:r w:rsidRPr="1B995EBC">
        <w:rPr>
          <w:rFonts w:ascii="Calibri" w:eastAsia="Calibri" w:hAnsi="Calibri" w:cs="Calibri"/>
        </w:rPr>
        <w:t xml:space="preserve">the New York Times interactive Covid case count map specifically regarding the state of Iowa. The data provided on this website contains trends and all-time data which has been aggregated for each county within the state. Through interactive and regularly updated data visualizations, it offers comprehensive insight into the COVID-19 situation within the state. This resource provides essential information such as the number of confirmed cases, hospitalizations, and deaths, as well as trends over time. Users can explore data at various geographic levels, from the state level down to county and local regions, enabling them to understand the impact of the pandemic on different areas of Iowa. We plan on scraping data for each county and use the total cases, the number of cases per 100,000, the total deaths, the total deaths per 100,000 and the percentage that is fully vaccinated to involve in our analysis. These numbers are all time numbers meaning they consider every instance since the beginning of Covid. </w:t>
      </w:r>
      <w:r w:rsidR="0055373E">
        <w:rPr>
          <w:rFonts w:ascii="Calibri" w:eastAsia="Calibri" w:hAnsi="Calibri" w:cs="Calibri"/>
        </w:rPr>
        <w:t>We scraped the data using Power Automate</w:t>
      </w:r>
      <w:r w:rsidRPr="1B995EBC">
        <w:rPr>
          <w:rFonts w:ascii="Calibri" w:eastAsia="Calibri" w:hAnsi="Calibri" w:cs="Calibri"/>
        </w:rPr>
        <w:t>. utiliz</w:t>
      </w:r>
      <w:r w:rsidR="0055373E">
        <w:rPr>
          <w:rFonts w:ascii="Calibri" w:eastAsia="Calibri" w:hAnsi="Calibri" w:cs="Calibri"/>
        </w:rPr>
        <w:t>ed</w:t>
      </w:r>
      <w:r w:rsidRPr="1B995EBC">
        <w:rPr>
          <w:rFonts w:ascii="Calibri" w:eastAsia="Calibri" w:hAnsi="Calibri" w:cs="Calibri"/>
        </w:rPr>
        <w:t xml:space="preserve"> this data in tandem with the data from the Google Mobility Reports to help us see and provide a better picture of the spread of COVID-19</w:t>
      </w:r>
      <w:r w:rsidR="0055373E">
        <w:rPr>
          <w:rFonts w:ascii="Calibri" w:eastAsia="Calibri" w:hAnsi="Calibri" w:cs="Calibri"/>
        </w:rPr>
        <w:t xml:space="preserve"> and its effects on different counties in Iowa.</w:t>
      </w:r>
    </w:p>
    <w:p w14:paraId="1301224D" w14:textId="606D090D" w:rsidR="1FDB7EA7" w:rsidRDefault="1FDB7EA7" w:rsidP="1B995EBC">
      <w:pPr>
        <w:spacing w:line="257" w:lineRule="auto"/>
      </w:pPr>
      <w:r w:rsidRPr="1B995EBC">
        <w:rPr>
          <w:rFonts w:ascii="Calibri" w:eastAsia="Calibri" w:hAnsi="Calibri" w:cs="Calibri"/>
        </w:rPr>
        <w:t xml:space="preserve"> </w:t>
      </w:r>
    </w:p>
    <w:p w14:paraId="502A9736" w14:textId="0EB24328" w:rsidR="1FDB7EA7" w:rsidRDefault="1FDB7EA7" w:rsidP="1B995EBC">
      <w:pPr>
        <w:spacing w:line="257" w:lineRule="auto"/>
      </w:pPr>
      <w:r w:rsidRPr="1B995EBC">
        <w:rPr>
          <w:rFonts w:ascii="Calibri" w:eastAsia="Calibri" w:hAnsi="Calibri" w:cs="Calibri"/>
          <w:b/>
          <w:bCs/>
          <w:color w:val="7F7F7F" w:themeColor="text1" w:themeTint="80"/>
        </w:rPr>
        <w:t>Data Set 3:</w:t>
      </w:r>
    </w:p>
    <w:p w14:paraId="5238D90E" w14:textId="7C7A2A91" w:rsidR="1FDB7EA7" w:rsidRPr="00B14A6E" w:rsidRDefault="1FDB7EA7" w:rsidP="00B14A6E">
      <w:pPr>
        <w:pStyle w:val="ListParagraph"/>
        <w:numPr>
          <w:ilvl w:val="0"/>
          <w:numId w:val="9"/>
        </w:numPr>
        <w:spacing w:line="257" w:lineRule="auto"/>
        <w:rPr>
          <w:rFonts w:ascii="Calibri" w:eastAsia="Calibri" w:hAnsi="Calibri" w:cs="Calibri"/>
        </w:rPr>
      </w:pPr>
      <w:r w:rsidRPr="00B14A6E">
        <w:rPr>
          <w:rFonts w:ascii="Calibri" w:eastAsia="Calibri" w:hAnsi="Calibri" w:cs="Calibri"/>
        </w:rPr>
        <w:t xml:space="preserve">Source: </w:t>
      </w:r>
      <w:r w:rsidR="011BC4F1" w:rsidRPr="00B14A6E">
        <w:rPr>
          <w:rFonts w:ascii="Calibri" w:eastAsia="Calibri" w:hAnsi="Calibri" w:cs="Calibri"/>
        </w:rPr>
        <w:t>GigaSheet</w:t>
      </w:r>
    </w:p>
    <w:p w14:paraId="1C912D83" w14:textId="4F27BE52" w:rsidR="1FDB7EA7" w:rsidRPr="00B14A6E" w:rsidRDefault="1FDB7EA7" w:rsidP="00B14A6E">
      <w:pPr>
        <w:pStyle w:val="ListParagraph"/>
        <w:numPr>
          <w:ilvl w:val="0"/>
          <w:numId w:val="9"/>
        </w:numPr>
        <w:spacing w:line="257" w:lineRule="auto"/>
        <w:rPr>
          <w:rFonts w:ascii="Calibri" w:eastAsia="Calibri" w:hAnsi="Calibri" w:cs="Calibri"/>
          <w:color w:val="0563C1"/>
        </w:rPr>
      </w:pPr>
      <w:r w:rsidRPr="00B14A6E">
        <w:rPr>
          <w:rFonts w:ascii="Calibri" w:eastAsia="Calibri" w:hAnsi="Calibri" w:cs="Calibri"/>
        </w:rPr>
        <w:t xml:space="preserve">Link: </w:t>
      </w:r>
      <w:hyperlink r:id="rId7">
        <w:r w:rsidR="203C5120" w:rsidRPr="00B14A6E">
          <w:rPr>
            <w:rStyle w:val="Hyperlink"/>
            <w:rFonts w:ascii="Calibri" w:eastAsia="Calibri" w:hAnsi="Calibri" w:cs="Calibri"/>
          </w:rPr>
          <w:t>https://gigasheet.com/sample-data/spreadsheet-list-of-all-counties-in-iowacsv</w:t>
        </w:r>
      </w:hyperlink>
    </w:p>
    <w:p w14:paraId="64AD2C49" w14:textId="7A5B29E8" w:rsidR="1E205B05" w:rsidRDefault="1E205B05" w:rsidP="337D62C9">
      <w:pPr>
        <w:spacing w:line="257" w:lineRule="auto"/>
        <w:rPr>
          <w:rFonts w:ascii="Calibri" w:eastAsia="Calibri" w:hAnsi="Calibri" w:cs="Calibri"/>
        </w:rPr>
      </w:pPr>
      <w:r w:rsidRPr="337D62C9">
        <w:rPr>
          <w:rFonts w:ascii="Calibri" w:eastAsia="Calibri" w:hAnsi="Calibri" w:cs="Calibri"/>
        </w:rPr>
        <w:t xml:space="preserve">The third data set we used was from GigaSheet. The data set from this website was downloaded </w:t>
      </w:r>
      <w:r w:rsidR="00B07033">
        <w:rPr>
          <w:rFonts w:ascii="Calibri" w:eastAsia="Calibri" w:hAnsi="Calibri" w:cs="Calibri"/>
        </w:rPr>
        <w:t>from a direct CSV file link</w:t>
      </w:r>
      <w:r w:rsidRPr="337D62C9">
        <w:rPr>
          <w:rFonts w:ascii="Calibri" w:eastAsia="Calibri" w:hAnsi="Calibri" w:cs="Calibri"/>
        </w:rPr>
        <w:t>. The data within this file included pop</w:t>
      </w:r>
      <w:r w:rsidR="2AE1C3A4" w:rsidRPr="337D62C9">
        <w:rPr>
          <w:rFonts w:ascii="Calibri" w:eastAsia="Calibri" w:hAnsi="Calibri" w:cs="Calibri"/>
        </w:rPr>
        <w:t xml:space="preserve">ulation data for counties in Iowa. This data was necessary for our analysis so that we could see Covid’s effect on different sized populations. </w:t>
      </w:r>
    </w:p>
    <w:p w14:paraId="68C4A44C" w14:textId="41D8A174" w:rsidR="337D62C9" w:rsidRDefault="337D62C9" w:rsidP="337D62C9">
      <w:pPr>
        <w:spacing w:line="257" w:lineRule="auto"/>
        <w:rPr>
          <w:rFonts w:ascii="Calibri" w:eastAsia="Calibri" w:hAnsi="Calibri" w:cs="Calibri"/>
        </w:rPr>
      </w:pPr>
    </w:p>
    <w:p w14:paraId="4C1CEDF7" w14:textId="5B19A4F8" w:rsidR="2AE1C3A4" w:rsidRDefault="2AE1C3A4" w:rsidP="337D62C9">
      <w:pPr>
        <w:spacing w:line="257" w:lineRule="auto"/>
        <w:rPr>
          <w:rFonts w:ascii="Calibri" w:eastAsia="Calibri" w:hAnsi="Calibri" w:cs="Calibri"/>
          <w:b/>
          <w:bCs/>
          <w:color w:val="7F7F7F" w:themeColor="text1" w:themeTint="80"/>
        </w:rPr>
      </w:pPr>
      <w:r w:rsidRPr="337D62C9">
        <w:rPr>
          <w:rFonts w:ascii="Calibri" w:eastAsia="Calibri" w:hAnsi="Calibri" w:cs="Calibri"/>
          <w:b/>
          <w:bCs/>
          <w:color w:val="7F7F7F" w:themeColor="text1" w:themeTint="80"/>
        </w:rPr>
        <w:t>Note:</w:t>
      </w:r>
    </w:p>
    <w:p w14:paraId="49884F0E" w14:textId="1C6DB534" w:rsidR="2AE1C3A4" w:rsidRDefault="2AE1C3A4" w:rsidP="337D62C9">
      <w:pPr>
        <w:spacing w:line="257" w:lineRule="auto"/>
        <w:rPr>
          <w:rFonts w:ascii="Calibri" w:eastAsia="Calibri" w:hAnsi="Calibri" w:cs="Calibri"/>
        </w:rPr>
      </w:pPr>
      <w:r w:rsidRPr="337D62C9">
        <w:rPr>
          <w:rFonts w:ascii="Calibri" w:eastAsia="Calibri" w:hAnsi="Calibri" w:cs="Calibri"/>
        </w:rPr>
        <w:t xml:space="preserve">We </w:t>
      </w:r>
      <w:r w:rsidR="1CEA3E4F" w:rsidRPr="337D62C9">
        <w:rPr>
          <w:rFonts w:ascii="Calibri" w:eastAsia="Calibri" w:hAnsi="Calibri" w:cs="Calibri"/>
        </w:rPr>
        <w:t>initially</w:t>
      </w:r>
      <w:r w:rsidRPr="337D62C9">
        <w:rPr>
          <w:rFonts w:ascii="Calibri" w:eastAsia="Calibri" w:hAnsi="Calibri" w:cs="Calibri"/>
        </w:rPr>
        <w:t xml:space="preserve"> planned on utilizing economic data from yahoo finance to dig deeper </w:t>
      </w:r>
      <w:r w:rsidR="10A471F0" w:rsidRPr="337D62C9">
        <w:rPr>
          <w:rFonts w:ascii="Calibri" w:eastAsia="Calibri" w:hAnsi="Calibri" w:cs="Calibri"/>
        </w:rPr>
        <w:t>into</w:t>
      </w:r>
      <w:r w:rsidRPr="337D62C9">
        <w:rPr>
          <w:rFonts w:ascii="Calibri" w:eastAsia="Calibri" w:hAnsi="Calibri" w:cs="Calibri"/>
        </w:rPr>
        <w:t xml:space="preserve"> the economic effects by sector. But we were unable to do so as the majority of our data from other sources lacked a proper date. This disabled us from forming conclusions about</w:t>
      </w:r>
      <w:r w:rsidR="5DA5FFD1" w:rsidRPr="337D62C9">
        <w:rPr>
          <w:rFonts w:ascii="Calibri" w:eastAsia="Calibri" w:hAnsi="Calibri" w:cs="Calibri"/>
        </w:rPr>
        <w:t xml:space="preserve"> economic effects by timeline. </w:t>
      </w:r>
      <w:r w:rsidR="577B8FC3" w:rsidRPr="337D62C9">
        <w:rPr>
          <w:rFonts w:ascii="Calibri" w:eastAsia="Calibri" w:hAnsi="Calibri" w:cs="Calibri"/>
        </w:rPr>
        <w:t>So, we instead directed our attention to the effects population size had on various aspects of the pandemic.</w:t>
      </w:r>
    </w:p>
    <w:p w14:paraId="3A7788CA" w14:textId="7D88A2D8" w:rsidR="64378414" w:rsidRDefault="64378414" w:rsidP="1B995EBC">
      <w:pPr>
        <w:spacing w:line="257" w:lineRule="auto"/>
      </w:pPr>
      <w:r>
        <w:br/>
      </w:r>
    </w:p>
    <w:p w14:paraId="6DA049A7" w14:textId="5064471A" w:rsidR="08B11D06" w:rsidRDefault="08B11D06" w:rsidP="1B995EBC">
      <w:pPr>
        <w:spacing w:line="257" w:lineRule="auto"/>
      </w:pPr>
      <w:r w:rsidRPr="1B995EBC">
        <w:rPr>
          <w:rFonts w:ascii="Calibri" w:eastAsia="Calibri" w:hAnsi="Calibri" w:cs="Calibri"/>
          <w:b/>
          <w:bCs/>
          <w:color w:val="7F7F7F" w:themeColor="text1" w:themeTint="80"/>
        </w:rPr>
        <w:t>Data Dictionary:</w:t>
      </w:r>
    </w:p>
    <w:tbl>
      <w:tblPr>
        <w:tblStyle w:val="TableGrid"/>
        <w:tblW w:w="0" w:type="auto"/>
        <w:tblLayout w:type="fixed"/>
        <w:tblLook w:val="06A0" w:firstRow="1" w:lastRow="0" w:firstColumn="1" w:lastColumn="0" w:noHBand="1" w:noVBand="1"/>
      </w:tblPr>
      <w:tblGrid>
        <w:gridCol w:w="2340"/>
        <w:gridCol w:w="2340"/>
        <w:gridCol w:w="2340"/>
        <w:gridCol w:w="2340"/>
      </w:tblGrid>
      <w:tr w:rsidR="1B995EBC" w14:paraId="2E6C4E78"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AF4947" w14:textId="3181FC07" w:rsidR="1B995EBC" w:rsidRDefault="108C3D70" w:rsidP="337D62C9">
            <w:pPr>
              <w:rPr>
                <w:rFonts w:ascii="Calibri" w:eastAsia="Calibri" w:hAnsi="Calibri" w:cs="Calibri"/>
                <w:b/>
                <w:bCs/>
                <w:color w:val="000000" w:themeColor="text1"/>
                <w:u w:val="single"/>
              </w:rPr>
            </w:pPr>
            <w:r w:rsidRPr="337D62C9">
              <w:rPr>
                <w:rFonts w:ascii="Calibri" w:eastAsia="Calibri" w:hAnsi="Calibri" w:cs="Calibri"/>
                <w:b/>
                <w:bCs/>
                <w:color w:val="000000" w:themeColor="text1"/>
                <w:u w:val="single"/>
              </w:rPr>
              <w:t>Field Name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3C3DC7" w14:textId="799C06D5" w:rsidR="1B995EBC" w:rsidRDefault="108C3D70" w:rsidP="337D62C9">
            <w:pPr>
              <w:rPr>
                <w:rFonts w:ascii="Calibri" w:eastAsia="Calibri" w:hAnsi="Calibri" w:cs="Calibri"/>
                <w:b/>
                <w:bCs/>
                <w:color w:val="000000" w:themeColor="text1"/>
                <w:u w:val="single"/>
              </w:rPr>
            </w:pPr>
            <w:r w:rsidRPr="337D62C9">
              <w:rPr>
                <w:rFonts w:ascii="Calibri" w:eastAsia="Calibri" w:hAnsi="Calibri" w:cs="Calibri"/>
                <w:b/>
                <w:bCs/>
                <w:color w:val="000000" w:themeColor="text1"/>
                <w:u w:val="single"/>
              </w:rPr>
              <w:t>Source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8895CB" w14:textId="3AF90798" w:rsidR="1B995EBC" w:rsidRDefault="108C3D70" w:rsidP="337D62C9">
            <w:pPr>
              <w:rPr>
                <w:rFonts w:ascii="Calibri" w:eastAsia="Calibri" w:hAnsi="Calibri" w:cs="Calibri"/>
                <w:b/>
                <w:bCs/>
                <w:color w:val="000000" w:themeColor="text1"/>
                <w:u w:val="single"/>
              </w:rPr>
            </w:pPr>
            <w:r w:rsidRPr="337D62C9">
              <w:rPr>
                <w:rFonts w:ascii="Calibri" w:eastAsia="Calibri" w:hAnsi="Calibri" w:cs="Calibri"/>
                <w:b/>
                <w:bCs/>
                <w:color w:val="000000" w:themeColor="text1"/>
                <w:u w:val="single"/>
              </w:rPr>
              <w:t>Data Type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4F4931" w14:textId="68E43C64" w:rsidR="1B995EBC" w:rsidRDefault="108C3D70" w:rsidP="337D62C9">
            <w:pPr>
              <w:rPr>
                <w:rFonts w:ascii="Calibri" w:eastAsia="Calibri" w:hAnsi="Calibri" w:cs="Calibri"/>
                <w:b/>
                <w:bCs/>
                <w:color w:val="000000" w:themeColor="text1"/>
                <w:u w:val="single"/>
              </w:rPr>
            </w:pPr>
            <w:r w:rsidRPr="337D62C9">
              <w:rPr>
                <w:rFonts w:ascii="Calibri" w:eastAsia="Calibri" w:hAnsi="Calibri" w:cs="Calibri"/>
                <w:b/>
                <w:bCs/>
                <w:color w:val="000000" w:themeColor="text1"/>
                <w:u w:val="single"/>
              </w:rPr>
              <w:t>Description</w:t>
            </w:r>
          </w:p>
        </w:tc>
      </w:tr>
      <w:tr w:rsidR="1B995EBC" w14:paraId="034D47FB"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C93C6D" w14:textId="621EB8B5"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Country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DBA043" w14:textId="3B3B09EA"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Google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6ED6EA" w14:textId="6684D437"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string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1F8269" w14:textId="3013A008"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Country listed</w:t>
            </w:r>
          </w:p>
        </w:tc>
      </w:tr>
      <w:tr w:rsidR="1B995EBC" w14:paraId="5DD2B2E2"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9FF460" w14:textId="2F915E94" w:rsidR="1B995EBC" w:rsidRDefault="4FF4F24F" w:rsidP="337D62C9">
            <w:pPr>
              <w:rPr>
                <w:rFonts w:ascii="Calibri" w:eastAsia="Calibri" w:hAnsi="Calibri" w:cs="Calibri"/>
                <w:color w:val="000000" w:themeColor="text1"/>
              </w:rPr>
            </w:pPr>
            <w:r w:rsidRPr="337D62C9">
              <w:rPr>
                <w:rFonts w:ascii="Calibri" w:eastAsia="Calibri" w:hAnsi="Calibri" w:cs="Calibri"/>
                <w:color w:val="000000" w:themeColor="text1"/>
              </w:rPr>
              <w:t>state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6011A6" w14:textId="5A835782"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Google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2EED60" w14:textId="7011A5D1"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string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2D439B" w14:textId="59E0C55D"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State listed</w:t>
            </w:r>
          </w:p>
        </w:tc>
      </w:tr>
      <w:tr w:rsidR="1B995EBC" w14:paraId="1DF7C087"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FDE230" w14:textId="6285191E" w:rsidR="1B995EBC" w:rsidRDefault="3EDBF311" w:rsidP="337D62C9">
            <w:pPr>
              <w:spacing w:line="259" w:lineRule="auto"/>
              <w:rPr>
                <w:rFonts w:ascii="Calibri" w:eastAsia="Calibri" w:hAnsi="Calibri" w:cs="Calibri"/>
                <w:color w:val="000000" w:themeColor="text1"/>
              </w:rPr>
            </w:pPr>
            <w:r w:rsidRPr="337D62C9">
              <w:rPr>
                <w:rFonts w:ascii="Calibri" w:eastAsia="Calibri" w:hAnsi="Calibri" w:cs="Calibri"/>
                <w:color w:val="000000" w:themeColor="text1"/>
              </w:rPr>
              <w:t>county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B83F77" w14:textId="1FA2196A"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Google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71A870" w14:textId="17AC1B14"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string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AFA3FE" w14:textId="7FF42006"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County listed</w:t>
            </w:r>
          </w:p>
        </w:tc>
      </w:tr>
      <w:tr w:rsidR="1B995EBC" w14:paraId="58172517"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B0E31F" w14:textId="2C77CCCB"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lastRenderedPageBreak/>
              <w:t>retail_and_recreation_percent_change_from_baseline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02F159" w14:textId="17DF7120"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Google</w:t>
            </w:r>
          </w:p>
          <w:p w14:paraId="492BE1F5" w14:textId="3FB9A601"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779313" w14:textId="1841234D"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float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EA978" w14:textId="6D45D785"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change in visits to residential areas compared to baseline</w:t>
            </w:r>
          </w:p>
        </w:tc>
      </w:tr>
      <w:tr w:rsidR="1B995EBC" w14:paraId="4A5211E2"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FE645E" w14:textId="594DC6BC"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grocery_and_pharmacy_percent_change_from_baseline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3DFA07" w14:textId="65C596D3"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Google</w:t>
            </w:r>
          </w:p>
          <w:p w14:paraId="19B68BCC" w14:textId="49926511"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57CBE" w14:textId="596BFAC8"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float</w:t>
            </w:r>
          </w:p>
          <w:p w14:paraId="7183F88B" w14:textId="4613EDE6"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C686C8" w14:textId="7FC6B80D"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change in visits to residential areas compared to baseline</w:t>
            </w:r>
          </w:p>
        </w:tc>
      </w:tr>
      <w:tr w:rsidR="1B995EBC" w14:paraId="79A02AD7"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5E23B9" w14:textId="030DE72D"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parks_percent_change_from_baseline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93A52" w14:textId="30115000"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Google</w:t>
            </w:r>
          </w:p>
          <w:p w14:paraId="516FB539" w14:textId="3635C0FB"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42EB9A" w14:textId="3D6B4763"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float</w:t>
            </w:r>
          </w:p>
          <w:p w14:paraId="228072A3" w14:textId="7C51FD41"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F77505" w14:textId="3AB687D3"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change in visits to residential areas compared to baseline</w:t>
            </w:r>
          </w:p>
        </w:tc>
      </w:tr>
      <w:tr w:rsidR="1B995EBC" w14:paraId="4293CCE3"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FBC693" w14:textId="637AA49A"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transit_stations_percent_change_from_baseline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53CB5A" w14:textId="0E293A1C"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Google</w:t>
            </w:r>
          </w:p>
          <w:p w14:paraId="63050145" w14:textId="1F901944"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5AC011" w14:textId="60820D2E"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float</w:t>
            </w:r>
          </w:p>
          <w:p w14:paraId="5C219AC1" w14:textId="59313494"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14CC0C" w14:textId="16D8EA97"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change in visits to residential areas compared to baseline</w:t>
            </w:r>
          </w:p>
        </w:tc>
      </w:tr>
      <w:tr w:rsidR="1B995EBC" w14:paraId="3083F417"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EA95DD" w14:textId="64DD5D44"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workplaces_percent_change_from_baseline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F5A159" w14:textId="5712325C"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Google</w:t>
            </w:r>
          </w:p>
          <w:p w14:paraId="6DE0797F" w14:textId="3E700E36"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DC3EDB" w14:textId="66E5686F"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float</w:t>
            </w:r>
          </w:p>
          <w:p w14:paraId="2D54A71D" w14:textId="10E6541A"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386478" w14:textId="7E6D8F71"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change in visits to residential areas compared to baseline</w:t>
            </w:r>
          </w:p>
        </w:tc>
      </w:tr>
      <w:tr w:rsidR="1B995EBC" w14:paraId="37A3C28B"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A116C1" w14:textId="30D0EFA6"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residential_percent_change_from_baseline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409607" w14:textId="00D9E7B8"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Google</w:t>
            </w:r>
          </w:p>
          <w:p w14:paraId="1EFC06DF" w14:textId="43384B18"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BDC98" w14:textId="35B9D13B"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float</w:t>
            </w:r>
          </w:p>
          <w:p w14:paraId="7FFECEAF" w14:textId="625ECFAC"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1F8409" w14:textId="13E5F91D"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change in visits to residential areas compared to baseline</w:t>
            </w:r>
          </w:p>
        </w:tc>
      </w:tr>
      <w:tr w:rsidR="1B995EBC" w14:paraId="793BC1FC"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9A5AF5" w14:textId="58C70BC6"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Total</w:t>
            </w:r>
            <w:r w:rsidR="5EB8DD34" w:rsidRPr="337D62C9">
              <w:rPr>
                <w:rFonts w:ascii="Calibri" w:eastAsia="Calibri" w:hAnsi="Calibri" w:cs="Calibri"/>
                <w:color w:val="000000" w:themeColor="text1"/>
              </w:rPr>
              <w:t xml:space="preserve"> Cases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8038D2" w14:textId="568D120E"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New York Times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3D9BE9" w14:textId="02F68EE1"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Numeric</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7F08A4" w14:textId="123EA309"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Total number of cases based on county</w:t>
            </w:r>
          </w:p>
        </w:tc>
      </w:tr>
      <w:tr w:rsidR="1B995EBC" w14:paraId="21DF82DF"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649ED6" w14:textId="56DFDA2C"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Total</w:t>
            </w:r>
            <w:r w:rsidR="42D91B11" w:rsidRPr="337D62C9">
              <w:rPr>
                <w:rFonts w:ascii="Calibri" w:eastAsia="Calibri" w:hAnsi="Calibri" w:cs="Calibri"/>
                <w:color w:val="000000" w:themeColor="text1"/>
              </w:rPr>
              <w:t xml:space="preserve"> Deaths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00D94A" w14:textId="67F0453A"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New York Times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1D626D" w14:textId="08A6E711"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Numeric</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B57125" w14:textId="362872AC"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Total number of deaths based on county</w:t>
            </w:r>
          </w:p>
        </w:tc>
      </w:tr>
      <w:tr w:rsidR="1B995EBC" w14:paraId="454D1B3B"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B7E262" w14:textId="7A9CE87A" w:rsidR="1B995EBC" w:rsidRDefault="251874DA" w:rsidP="337D62C9">
            <w:pPr>
              <w:rPr>
                <w:rFonts w:ascii="Calibri" w:eastAsia="Calibri" w:hAnsi="Calibri" w:cs="Calibri"/>
                <w:color w:val="000000" w:themeColor="text1"/>
              </w:rPr>
            </w:pPr>
            <w:r w:rsidRPr="337D62C9">
              <w:rPr>
                <w:rFonts w:ascii="Calibri" w:eastAsia="Calibri" w:hAnsi="Calibri" w:cs="Calibri"/>
                <w:color w:val="000000" w:themeColor="text1"/>
              </w:rPr>
              <w:t>Cases per 100,000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357CC3" w14:textId="00DE16CE"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New York Times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C3055D" w14:textId="6C828B37"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Numeric</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9DD225" w14:textId="4E416949" w:rsidR="1B995EBC" w:rsidRDefault="00CC0FF4" w:rsidP="337D62C9">
            <w:pPr>
              <w:rPr>
                <w:rFonts w:ascii="Calibri" w:eastAsia="Calibri" w:hAnsi="Calibri" w:cs="Calibri"/>
                <w:color w:val="000000" w:themeColor="text1"/>
              </w:rPr>
            </w:pPr>
            <w:r>
              <w:rPr>
                <w:rFonts w:ascii="Calibri" w:eastAsia="Calibri" w:hAnsi="Calibri" w:cs="Calibri"/>
                <w:color w:val="000000" w:themeColor="text1"/>
              </w:rPr>
              <w:t># of cases per 100,000 residents</w:t>
            </w:r>
            <w:r w:rsidR="108C3D70" w:rsidRPr="337D62C9">
              <w:rPr>
                <w:rFonts w:ascii="Calibri" w:eastAsia="Calibri" w:hAnsi="Calibri" w:cs="Calibri"/>
                <w:color w:val="000000" w:themeColor="text1"/>
              </w:rPr>
              <w:t xml:space="preserve"> </w:t>
            </w:r>
          </w:p>
        </w:tc>
      </w:tr>
      <w:tr w:rsidR="1B995EBC" w14:paraId="7EB95534"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C23FE1" w14:textId="4BE8555D" w:rsidR="1B995EBC" w:rsidRDefault="1AAB1127" w:rsidP="337D62C9">
            <w:pPr>
              <w:rPr>
                <w:rFonts w:ascii="Calibri" w:eastAsia="Calibri" w:hAnsi="Calibri" w:cs="Calibri"/>
                <w:color w:val="000000" w:themeColor="text1"/>
              </w:rPr>
            </w:pPr>
            <w:r w:rsidRPr="337D62C9">
              <w:rPr>
                <w:rFonts w:ascii="Calibri" w:eastAsia="Calibri" w:hAnsi="Calibri" w:cs="Calibri"/>
                <w:color w:val="000000" w:themeColor="text1"/>
              </w:rPr>
              <w:t>Deaths per 100,000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698E39" w14:textId="4BE8020B" w:rsidR="1B995EBC" w:rsidRDefault="70D09B67" w:rsidP="337D62C9">
            <w:pPr>
              <w:rPr>
                <w:rFonts w:ascii="Calibri" w:eastAsia="Calibri" w:hAnsi="Calibri" w:cs="Calibri"/>
                <w:color w:val="000000" w:themeColor="text1"/>
              </w:rPr>
            </w:pPr>
            <w:r w:rsidRPr="337D62C9">
              <w:rPr>
                <w:rFonts w:ascii="Calibri" w:eastAsia="Calibri" w:hAnsi="Calibri" w:cs="Calibri"/>
                <w:color w:val="000000" w:themeColor="text1"/>
              </w:rPr>
              <w:t>New York Times</w:t>
            </w:r>
          </w:p>
          <w:p w14:paraId="3E002EE0" w14:textId="31FF2B30" w:rsidR="1B995EBC" w:rsidRDefault="1B995EBC" w:rsidP="337D62C9">
            <w:pPr>
              <w:rPr>
                <w:rFonts w:ascii="Calibri" w:eastAsia="Calibri" w:hAnsi="Calibri" w:cs="Calibri"/>
                <w:color w:val="000000" w:themeColor="text1"/>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7FA75" w14:textId="75ACE9CA" w:rsidR="1B995EBC" w:rsidRDefault="00CC0FF4" w:rsidP="337D62C9">
            <w:pPr>
              <w:rPr>
                <w:rFonts w:ascii="Calibri" w:eastAsia="Calibri" w:hAnsi="Calibri" w:cs="Calibri"/>
                <w:color w:val="000000" w:themeColor="text1"/>
              </w:rPr>
            </w:pPr>
            <w:r>
              <w:rPr>
                <w:rFonts w:ascii="Calibri" w:eastAsia="Calibri" w:hAnsi="Calibri" w:cs="Calibri"/>
                <w:color w:val="000000" w:themeColor="text1"/>
              </w:rPr>
              <w:t>Numeric</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C1255" w14:textId="7C81AB73" w:rsidR="1B995EBC" w:rsidRDefault="00CC0FF4" w:rsidP="337D62C9">
            <w:pPr>
              <w:rPr>
                <w:rFonts w:ascii="Calibri" w:eastAsia="Calibri" w:hAnsi="Calibri" w:cs="Calibri"/>
                <w:color w:val="000000" w:themeColor="text1"/>
              </w:rPr>
            </w:pPr>
            <w:r>
              <w:rPr>
                <w:rFonts w:ascii="Calibri" w:eastAsia="Calibri" w:hAnsi="Calibri" w:cs="Calibri"/>
                <w:color w:val="000000" w:themeColor="text1"/>
              </w:rPr>
              <w:t># of deaths per 100,000 residents</w:t>
            </w:r>
          </w:p>
        </w:tc>
      </w:tr>
      <w:tr w:rsidR="1B995EBC" w14:paraId="38B5A907"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A8A655" w14:textId="4587B1AC" w:rsidR="1B995EBC" w:rsidRDefault="6AACD0D6" w:rsidP="337D62C9">
            <w:pPr>
              <w:rPr>
                <w:rFonts w:ascii="Calibri" w:eastAsia="Calibri" w:hAnsi="Calibri" w:cs="Calibri"/>
                <w:color w:val="000000" w:themeColor="text1"/>
              </w:rPr>
            </w:pPr>
            <w:r w:rsidRPr="337D62C9">
              <w:rPr>
                <w:rFonts w:ascii="Calibri" w:eastAsia="Calibri" w:hAnsi="Calibri" w:cs="Calibri"/>
                <w:color w:val="000000" w:themeColor="text1"/>
              </w:rPr>
              <w:t>Percent fully vaccinated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CDBEC8" w14:textId="47F337B8" w:rsidR="1B995EBC" w:rsidRDefault="4BB44B57" w:rsidP="337D62C9">
            <w:pPr>
              <w:rPr>
                <w:rFonts w:ascii="Calibri" w:eastAsia="Calibri" w:hAnsi="Calibri" w:cs="Calibri"/>
                <w:color w:val="000000" w:themeColor="text1"/>
              </w:rPr>
            </w:pPr>
            <w:r w:rsidRPr="337D62C9">
              <w:rPr>
                <w:rFonts w:ascii="Calibri" w:eastAsia="Calibri" w:hAnsi="Calibri" w:cs="Calibri"/>
                <w:color w:val="000000" w:themeColor="text1"/>
              </w:rPr>
              <w:t>New York Times</w:t>
            </w:r>
          </w:p>
          <w:p w14:paraId="60E32D35" w14:textId="6FDF789C" w:rsidR="1B995EBC" w:rsidRDefault="1B995EBC" w:rsidP="337D62C9">
            <w:pPr>
              <w:rPr>
                <w:rFonts w:ascii="Calibri" w:eastAsia="Calibri" w:hAnsi="Calibri" w:cs="Calibri"/>
                <w:color w:val="000000" w:themeColor="text1"/>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490CAF" w14:textId="344391ED" w:rsidR="1B995EBC" w:rsidRDefault="00CC0FF4" w:rsidP="337D62C9">
            <w:pPr>
              <w:rPr>
                <w:rFonts w:ascii="Calibri" w:eastAsia="Calibri" w:hAnsi="Calibri" w:cs="Calibri"/>
                <w:color w:val="000000" w:themeColor="text1"/>
              </w:rPr>
            </w:pPr>
            <w:r>
              <w:rPr>
                <w:rFonts w:ascii="Calibri" w:eastAsia="Calibri" w:hAnsi="Calibri" w:cs="Calibri"/>
                <w:color w:val="000000" w:themeColor="text1"/>
              </w:rPr>
              <w:t>Numeric</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D6BD3F" w14:textId="0BD2EEEF" w:rsidR="1B995EBC" w:rsidRDefault="00CC0FF4" w:rsidP="337D62C9">
            <w:pPr>
              <w:rPr>
                <w:rFonts w:ascii="Calibri" w:eastAsia="Calibri" w:hAnsi="Calibri" w:cs="Calibri"/>
                <w:color w:val="000000" w:themeColor="text1"/>
              </w:rPr>
            </w:pPr>
            <w:r>
              <w:rPr>
                <w:rFonts w:ascii="Calibri" w:eastAsia="Calibri" w:hAnsi="Calibri" w:cs="Calibri"/>
                <w:color w:val="000000" w:themeColor="text1"/>
              </w:rPr>
              <w:t>% of population fully vaccinated</w:t>
            </w:r>
          </w:p>
        </w:tc>
      </w:tr>
      <w:tr w:rsidR="1B995EBC" w14:paraId="2B36A0DB"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A4D4E0" w14:textId="10AE64E7" w:rsidR="1B995EBC" w:rsidRDefault="2DAE99C8" w:rsidP="337D62C9">
            <w:pPr>
              <w:rPr>
                <w:rFonts w:ascii="Calibri" w:eastAsia="Calibri" w:hAnsi="Calibri" w:cs="Calibri"/>
                <w:color w:val="000000" w:themeColor="text1"/>
              </w:rPr>
            </w:pPr>
            <w:r w:rsidRPr="337D62C9">
              <w:rPr>
                <w:rFonts w:ascii="Calibri" w:eastAsia="Calibri" w:hAnsi="Calibri" w:cs="Calibri"/>
                <w:color w:val="000000" w:themeColor="text1"/>
              </w:rPr>
              <w:t>population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F12890" w14:textId="6CC652DB"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r w:rsidR="3EF5B4B7" w:rsidRPr="337D62C9">
              <w:rPr>
                <w:rFonts w:ascii="Calibri" w:eastAsia="Calibri" w:hAnsi="Calibri" w:cs="Calibri"/>
                <w:color w:val="000000" w:themeColor="text1"/>
              </w:rPr>
              <w:t>GigaSheet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CEFA81" w14:textId="348F6E59" w:rsidR="1B995EBC" w:rsidRDefault="00CC0FF4" w:rsidP="337D62C9">
            <w:pPr>
              <w:rPr>
                <w:rFonts w:ascii="Calibri" w:eastAsia="Calibri" w:hAnsi="Calibri" w:cs="Calibri"/>
                <w:color w:val="000000" w:themeColor="text1"/>
              </w:rPr>
            </w:pPr>
            <w:r>
              <w:rPr>
                <w:rFonts w:ascii="Calibri" w:eastAsia="Calibri" w:hAnsi="Calibri" w:cs="Calibri"/>
                <w:color w:val="000000" w:themeColor="text1"/>
              </w:rPr>
              <w:t>Numeric</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1D8E3" w14:textId="6DBDF40A" w:rsidR="1B995EBC" w:rsidRDefault="00CC0FF4" w:rsidP="337D62C9">
            <w:pPr>
              <w:rPr>
                <w:rFonts w:ascii="Calibri" w:eastAsia="Calibri" w:hAnsi="Calibri" w:cs="Calibri"/>
                <w:color w:val="000000" w:themeColor="text1"/>
              </w:rPr>
            </w:pPr>
            <w:r>
              <w:rPr>
                <w:rFonts w:ascii="Calibri" w:eastAsia="Calibri" w:hAnsi="Calibri" w:cs="Calibri"/>
                <w:color w:val="000000" w:themeColor="text1"/>
              </w:rPr>
              <w:t># of residents in that county</w:t>
            </w:r>
          </w:p>
        </w:tc>
      </w:tr>
      <w:tr w:rsidR="1B995EBC" w14:paraId="64DD94EE"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727107" w14:textId="45675517" w:rsidR="1B995EBC" w:rsidRDefault="1A571990" w:rsidP="337D62C9">
            <w:pPr>
              <w:rPr>
                <w:rFonts w:ascii="Calibri" w:eastAsia="Calibri" w:hAnsi="Calibri" w:cs="Calibri"/>
                <w:color w:val="000000" w:themeColor="text1"/>
              </w:rPr>
            </w:pPr>
            <w:r w:rsidRPr="337D62C9">
              <w:rPr>
                <w:rFonts w:ascii="Calibri" w:eastAsia="Calibri" w:hAnsi="Calibri" w:cs="Calibri"/>
                <w:color w:val="000000" w:themeColor="text1"/>
              </w:rPr>
              <w:t>Population_Category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FD550F" w14:textId="6DB58E52"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r w:rsidR="67E56F75" w:rsidRPr="337D62C9">
              <w:rPr>
                <w:rFonts w:ascii="Calibri" w:eastAsia="Calibri" w:hAnsi="Calibri" w:cs="Calibri"/>
                <w:color w:val="000000" w:themeColor="text1"/>
              </w:rPr>
              <w:t>Engineered by us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7CE3FD" w14:textId="63E0D24F" w:rsidR="1B995EBC" w:rsidRDefault="108C3D70" w:rsidP="337D62C9">
            <w:pPr>
              <w:rPr>
                <w:rFonts w:ascii="Calibri" w:eastAsia="Calibri" w:hAnsi="Calibri" w:cs="Calibri"/>
                <w:color w:val="000000" w:themeColor="text1"/>
              </w:rPr>
            </w:pPr>
            <w:r w:rsidRPr="337D62C9">
              <w:rPr>
                <w:rFonts w:ascii="Calibri" w:eastAsia="Calibri" w:hAnsi="Calibri" w:cs="Calibri"/>
                <w:color w:val="000000" w:themeColor="text1"/>
              </w:rPr>
              <w:t xml:space="preserve"> </w:t>
            </w:r>
            <w:r w:rsidR="00CC0FF4">
              <w:rPr>
                <w:rFonts w:ascii="Calibri" w:eastAsia="Calibri" w:hAnsi="Calibri" w:cs="Calibri"/>
                <w:color w:val="000000" w:themeColor="text1"/>
              </w:rPr>
              <w:t>string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5893F0" w14:textId="0BBAFEE6" w:rsidR="1B995EBC" w:rsidRDefault="0B45AE1C" w:rsidP="337D62C9">
            <w:pPr>
              <w:rPr>
                <w:rFonts w:ascii="Calibri" w:eastAsia="Calibri" w:hAnsi="Calibri" w:cs="Calibri"/>
                <w:color w:val="000000" w:themeColor="text1"/>
              </w:rPr>
            </w:pPr>
            <w:r w:rsidRPr="337D62C9">
              <w:rPr>
                <w:rFonts w:ascii="Calibri" w:eastAsia="Calibri" w:hAnsi="Calibri" w:cs="Calibri"/>
                <w:color w:val="000000" w:themeColor="text1"/>
              </w:rPr>
              <w:t>Counties with less than 50,000 or greater than 50,000</w:t>
            </w:r>
          </w:p>
        </w:tc>
      </w:tr>
      <w:tr w:rsidR="337D62C9" w14:paraId="7CDDA57E" w14:textId="77777777" w:rsidTr="337D62C9">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6B5F41" w14:textId="6823CA8B" w:rsidR="2EE9C802" w:rsidRDefault="2EE9C802" w:rsidP="337D62C9">
            <w:pPr>
              <w:rPr>
                <w:rFonts w:ascii="Calibri" w:eastAsia="Calibri" w:hAnsi="Calibri" w:cs="Calibri"/>
                <w:color w:val="000000" w:themeColor="text1"/>
              </w:rPr>
            </w:pPr>
            <w:r w:rsidRPr="337D62C9">
              <w:rPr>
                <w:rFonts w:ascii="Calibri" w:eastAsia="Calibri" w:hAnsi="Calibri" w:cs="Calibri"/>
                <w:color w:val="000000" w:themeColor="text1"/>
              </w:rPr>
              <w:t>Case_Death_Ratio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19FD88" w14:textId="04045A8A" w:rsidR="254F266D" w:rsidRDefault="254F266D" w:rsidP="337D62C9">
            <w:pPr>
              <w:rPr>
                <w:rFonts w:ascii="Calibri" w:eastAsia="Calibri" w:hAnsi="Calibri" w:cs="Calibri"/>
                <w:color w:val="000000" w:themeColor="text1"/>
              </w:rPr>
            </w:pPr>
            <w:r w:rsidRPr="337D62C9">
              <w:rPr>
                <w:rFonts w:ascii="Calibri" w:eastAsia="Calibri" w:hAnsi="Calibri" w:cs="Calibri"/>
                <w:color w:val="000000" w:themeColor="text1"/>
              </w:rPr>
              <w:t>Engineered by us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F6ED0" w14:textId="44CA189E" w:rsidR="337D62C9" w:rsidRDefault="00CC0FF4" w:rsidP="337D62C9">
            <w:pPr>
              <w:rPr>
                <w:rFonts w:ascii="Calibri" w:eastAsia="Calibri" w:hAnsi="Calibri" w:cs="Calibri"/>
                <w:color w:val="000000" w:themeColor="text1"/>
              </w:rPr>
            </w:pPr>
            <w:r>
              <w:rPr>
                <w:rFonts w:ascii="Calibri" w:eastAsia="Calibri" w:hAnsi="Calibri" w:cs="Calibri"/>
                <w:color w:val="000000" w:themeColor="text1"/>
              </w:rPr>
              <w:t>float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0B2084" w14:textId="686FAD10" w:rsidR="254F266D" w:rsidRDefault="254F266D" w:rsidP="337D62C9">
            <w:pPr>
              <w:rPr>
                <w:rFonts w:ascii="Calibri" w:eastAsia="Calibri" w:hAnsi="Calibri" w:cs="Calibri"/>
                <w:color w:val="000000" w:themeColor="text1"/>
              </w:rPr>
            </w:pPr>
            <w:r w:rsidRPr="337D62C9">
              <w:rPr>
                <w:rFonts w:ascii="Calibri" w:eastAsia="Calibri" w:hAnsi="Calibri" w:cs="Calibri"/>
                <w:color w:val="000000" w:themeColor="text1"/>
              </w:rPr>
              <w:t>case/death</w:t>
            </w:r>
          </w:p>
        </w:tc>
      </w:tr>
    </w:tbl>
    <w:p w14:paraId="5D3A73E9" w14:textId="03E85154" w:rsidR="1B995EBC" w:rsidRDefault="1B995EBC" w:rsidP="1B995EBC">
      <w:pPr>
        <w:spacing w:line="257" w:lineRule="auto"/>
        <w:rPr>
          <w:rFonts w:ascii="Calibri" w:eastAsia="Calibri" w:hAnsi="Calibri" w:cs="Calibri"/>
        </w:rPr>
      </w:pPr>
    </w:p>
    <w:p w14:paraId="70DBB3F4" w14:textId="32D2C1BD" w:rsidR="23F23F33" w:rsidRDefault="00C894EB" w:rsidP="1B995EBC">
      <w:pPr>
        <w:spacing w:line="257" w:lineRule="auto"/>
      </w:pPr>
      <w:r w:rsidRPr="3D2C058D">
        <w:rPr>
          <w:rFonts w:ascii="Calibri" w:eastAsia="Calibri" w:hAnsi="Calibri" w:cs="Calibri"/>
          <w:b/>
          <w:bCs/>
          <w:sz w:val="28"/>
          <w:szCs w:val="28"/>
        </w:rPr>
        <w:t>3. Analysis:</w:t>
      </w:r>
    </w:p>
    <w:p w14:paraId="556806EE" w14:textId="271701FB" w:rsidR="305EFDB8" w:rsidRDefault="305EFDB8" w:rsidP="337D62C9">
      <w:pPr>
        <w:spacing w:line="257" w:lineRule="auto"/>
        <w:rPr>
          <w:rFonts w:ascii="Calibri" w:eastAsia="Calibri" w:hAnsi="Calibri" w:cs="Calibri"/>
          <w:b/>
          <w:bCs/>
          <w:color w:val="7F7F7F" w:themeColor="text1" w:themeTint="80"/>
        </w:rPr>
      </w:pPr>
      <w:r w:rsidRPr="337D62C9">
        <w:rPr>
          <w:rFonts w:ascii="Calibri" w:eastAsia="Calibri" w:hAnsi="Calibri" w:cs="Calibri"/>
          <w:b/>
          <w:bCs/>
          <w:color w:val="7F7F7F" w:themeColor="text1" w:themeTint="80"/>
        </w:rPr>
        <w:t>Research Questions-</w:t>
      </w:r>
    </w:p>
    <w:p w14:paraId="5E71CD26" w14:textId="6C87991D" w:rsidR="6E6A2602" w:rsidRDefault="6E6A2602" w:rsidP="1B995EBC">
      <w:pPr>
        <w:pStyle w:val="ListParagraph"/>
        <w:numPr>
          <w:ilvl w:val="0"/>
          <w:numId w:val="3"/>
        </w:numPr>
        <w:spacing w:after="0"/>
        <w:rPr>
          <w:rFonts w:ascii="Calibri" w:eastAsia="Calibri" w:hAnsi="Calibri" w:cs="Calibri"/>
        </w:rPr>
      </w:pPr>
      <w:r w:rsidRPr="1B995EBC">
        <w:rPr>
          <w:rFonts w:ascii="Calibri" w:eastAsia="Calibri" w:hAnsi="Calibri" w:cs="Calibri"/>
        </w:rPr>
        <w:t>What was the most highly impacted sector in Iowa?</w:t>
      </w:r>
    </w:p>
    <w:p w14:paraId="24D5AB21" w14:textId="7437590F" w:rsidR="6E6A2602" w:rsidRDefault="3126F158" w:rsidP="1B995EBC">
      <w:pPr>
        <w:pStyle w:val="ListParagraph"/>
        <w:numPr>
          <w:ilvl w:val="0"/>
          <w:numId w:val="3"/>
        </w:numPr>
        <w:spacing w:after="0"/>
        <w:rPr>
          <w:rFonts w:ascii="Calibri" w:eastAsia="Calibri" w:hAnsi="Calibri" w:cs="Calibri"/>
        </w:rPr>
      </w:pPr>
      <w:r w:rsidRPr="3D2C058D">
        <w:rPr>
          <w:rFonts w:ascii="Calibri" w:eastAsia="Calibri" w:hAnsi="Calibri" w:cs="Calibri"/>
        </w:rPr>
        <w:t xml:space="preserve">How are counties with less than 50,000 residents affected in comparison to those that have greater than </w:t>
      </w:r>
      <w:r w:rsidR="3E3B439F" w:rsidRPr="3D2C058D">
        <w:rPr>
          <w:rFonts w:ascii="Calibri" w:eastAsia="Calibri" w:hAnsi="Calibri" w:cs="Calibri"/>
        </w:rPr>
        <w:t>50,000</w:t>
      </w:r>
      <w:r w:rsidRPr="3D2C058D">
        <w:rPr>
          <w:rFonts w:ascii="Calibri" w:eastAsia="Calibri" w:hAnsi="Calibri" w:cs="Calibri"/>
        </w:rPr>
        <w:t xml:space="preserve"> residents?</w:t>
      </w:r>
    </w:p>
    <w:p w14:paraId="3B60445C" w14:textId="4D0FF7F5" w:rsidR="6E6A2602" w:rsidRDefault="6E6A2602" w:rsidP="1B995EBC">
      <w:pPr>
        <w:pStyle w:val="ListParagraph"/>
        <w:numPr>
          <w:ilvl w:val="0"/>
          <w:numId w:val="3"/>
        </w:numPr>
        <w:spacing w:after="0"/>
      </w:pPr>
      <w:r>
        <w:t xml:space="preserve">What </w:t>
      </w:r>
      <w:r w:rsidR="6009F34E">
        <w:t>are</w:t>
      </w:r>
      <w:r>
        <w:t xml:space="preserve"> the top 10 worst counties case to death ratio and what were the correlations/effects on mobility patterns?</w:t>
      </w:r>
    </w:p>
    <w:p w14:paraId="7971A089" w14:textId="2248CB9C" w:rsidR="6E6A2602" w:rsidRDefault="6E6A2602" w:rsidP="1B995EBC">
      <w:pPr>
        <w:pStyle w:val="ListParagraph"/>
        <w:numPr>
          <w:ilvl w:val="0"/>
          <w:numId w:val="3"/>
        </w:numPr>
        <w:spacing w:after="0"/>
        <w:rPr>
          <w:rFonts w:ascii="Calibri" w:eastAsia="Calibri" w:hAnsi="Calibri" w:cs="Calibri"/>
        </w:rPr>
      </w:pPr>
      <w:r w:rsidRPr="60A67DC4">
        <w:rPr>
          <w:rFonts w:ascii="Calibri" w:eastAsia="Calibri" w:hAnsi="Calibri" w:cs="Calibri"/>
        </w:rPr>
        <w:t>How do the cumulative changes in mobility indicators specifically retail and recreation relate to the total number of COVID-19 cases in the top 10 covid stricken counties?</w:t>
      </w:r>
    </w:p>
    <w:p w14:paraId="614BADD4" w14:textId="2555746D" w:rsidR="1B995EBC" w:rsidRDefault="1B995EBC" w:rsidP="1B995EBC">
      <w:pPr>
        <w:rPr>
          <w:rFonts w:ascii="Calibri" w:eastAsia="Calibri" w:hAnsi="Calibri" w:cs="Calibri"/>
          <w:sz w:val="27"/>
          <w:szCs w:val="27"/>
        </w:rPr>
      </w:pPr>
    </w:p>
    <w:p w14:paraId="2329387A" w14:textId="50094744" w:rsidR="1831FDE2" w:rsidRDefault="1831FDE2" w:rsidP="60279907">
      <w:pPr>
        <w:rPr>
          <w:rFonts w:eastAsiaTheme="minorEastAsia"/>
          <w:b/>
          <w:bCs/>
          <w:u w:val="single"/>
        </w:rPr>
      </w:pPr>
      <w:r w:rsidRPr="1B995EBC">
        <w:rPr>
          <w:rFonts w:eastAsiaTheme="minorEastAsia"/>
          <w:b/>
          <w:bCs/>
          <w:color w:val="7F7F7F" w:themeColor="text1" w:themeTint="80"/>
        </w:rPr>
        <w:t>Results:</w:t>
      </w:r>
    </w:p>
    <w:p w14:paraId="01EF4AEE" w14:textId="76BF7261" w:rsidR="1831FDE2" w:rsidRDefault="104FD3A4" w:rsidP="3D2C058D">
      <w:r>
        <w:t>With t</w:t>
      </w:r>
      <w:r w:rsidR="6E3C0629">
        <w:t>h</w:t>
      </w:r>
      <w:r>
        <w:t xml:space="preserve">e introduction of population data and the deletion of economic data </w:t>
      </w:r>
      <w:r w:rsidR="6580F950">
        <w:t>and the concept of time</w:t>
      </w:r>
      <w:r>
        <w:t xml:space="preserve">, our project now aims </w:t>
      </w:r>
      <w:r w:rsidR="6A546A73">
        <w:t xml:space="preserve">to analyze the different effects COVID had on mobility and </w:t>
      </w:r>
      <w:r w:rsidR="36C0F988">
        <w:t>medical factors</w:t>
      </w:r>
      <w:r w:rsidR="6A546A73">
        <w:t>.</w:t>
      </w:r>
      <w:r w:rsidR="4CA12ED8">
        <w:t xml:space="preserve"> Specifically,</w:t>
      </w:r>
      <w:r w:rsidR="72B41EBD">
        <w:t xml:space="preserve"> </w:t>
      </w:r>
      <w:r w:rsidR="78D6AB62">
        <w:t>o</w:t>
      </w:r>
      <w:r w:rsidR="4049FB18">
        <w:t>ur analysis gives visual</w:t>
      </w:r>
      <w:r w:rsidR="241AD025">
        <w:t>,</w:t>
      </w:r>
      <w:r w:rsidR="4049FB18">
        <w:t xml:space="preserve"> and data driven insight</w:t>
      </w:r>
      <w:r w:rsidR="39F19DCE">
        <w:t xml:space="preserve"> regarding these topics</w:t>
      </w:r>
      <w:r w:rsidR="4049FB18">
        <w:t xml:space="preserve"> </w:t>
      </w:r>
      <w:r w:rsidR="3AD052FA">
        <w:t>on</w:t>
      </w:r>
      <w:r w:rsidR="4049FB18">
        <w:t xml:space="preserve"> the effects of COVID-19 across counties in Iowa. The following graphs and charts depict the effects </w:t>
      </w:r>
      <w:r w:rsidR="5E047535">
        <w:t xml:space="preserve">COVID had on various aspects of society/business by looking at mobility trends, as well as </w:t>
      </w:r>
      <w:r w:rsidR="5E3F0ABC">
        <w:t>medical aspects like the mortality count.</w:t>
      </w:r>
    </w:p>
    <w:p w14:paraId="1164E6D7" w14:textId="2D6CDDDD" w:rsidR="1831FDE2" w:rsidRDefault="5A338AFD" w:rsidP="1B995EBC">
      <w:pPr>
        <w:rPr>
          <w:rFonts w:eastAsiaTheme="minorEastAsia"/>
          <w:b/>
          <w:bCs/>
          <w:u w:val="single"/>
        </w:rPr>
      </w:pPr>
      <w:r>
        <w:br/>
      </w:r>
      <w:r w:rsidR="051F4723" w:rsidRPr="54A93DBD">
        <w:rPr>
          <w:rFonts w:eastAsiaTheme="minorEastAsia"/>
          <w:b/>
          <w:bCs/>
          <w:u w:val="single"/>
        </w:rPr>
        <w:t>Question 1</w:t>
      </w:r>
      <w:r w:rsidR="47A2281A" w:rsidRPr="54A93DBD">
        <w:rPr>
          <w:rFonts w:eastAsiaTheme="minorEastAsia"/>
          <w:b/>
          <w:bCs/>
          <w:u w:val="single"/>
        </w:rPr>
        <w:t>-</w:t>
      </w:r>
    </w:p>
    <w:p w14:paraId="0D7670C5" w14:textId="404F3A7C" w:rsidR="00CE7825" w:rsidRDefault="000040C4" w:rsidP="1B995EBC">
      <w:pPr>
        <w:rPr>
          <w:rFonts w:ascii="Calibri" w:eastAsia="Calibri" w:hAnsi="Calibri" w:cs="Calibri"/>
          <w:sz w:val="27"/>
          <w:szCs w:val="27"/>
        </w:rPr>
      </w:pPr>
      <w:r>
        <w:rPr>
          <w:noProof/>
        </w:rPr>
        <w:drawing>
          <wp:inline distT="0" distB="0" distL="0" distR="0" wp14:anchorId="2DB39CFD" wp14:editId="2614750F">
            <wp:extent cx="6412056" cy="3482612"/>
            <wp:effectExtent l="0" t="0" r="9525" b="9525"/>
            <wp:docPr id="1989807066" name="Picture 1989807066"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807066"/>
                    <pic:cNvPicPr/>
                  </pic:nvPicPr>
                  <pic:blipFill>
                    <a:blip r:embed="rId8">
                      <a:extLst>
                        <a:ext uri="{28A0092B-C50C-407E-A947-70E740481C1C}">
                          <a14:useLocalDpi xmlns:a14="http://schemas.microsoft.com/office/drawing/2010/main" val="0"/>
                        </a:ext>
                      </a:extLst>
                    </a:blip>
                    <a:stretch>
                      <a:fillRect/>
                    </a:stretch>
                  </pic:blipFill>
                  <pic:spPr>
                    <a:xfrm>
                      <a:off x="0" y="0"/>
                      <a:ext cx="6412056" cy="3482612"/>
                    </a:xfrm>
                    <a:prstGeom prst="rect">
                      <a:avLst/>
                    </a:prstGeom>
                  </pic:spPr>
                </pic:pic>
              </a:graphicData>
            </a:graphic>
          </wp:inline>
        </w:drawing>
      </w:r>
    </w:p>
    <w:p w14:paraId="347ED076" w14:textId="01C54558" w:rsidR="00CE7DE9" w:rsidRPr="00CE7DE9" w:rsidRDefault="00CE7DE9" w:rsidP="00CE7DE9">
      <w:pPr>
        <w:rPr>
          <w:rFonts w:eastAsiaTheme="minorEastAsia"/>
        </w:rPr>
      </w:pPr>
      <w:r w:rsidRPr="00CE7DE9">
        <w:rPr>
          <w:rFonts w:eastAsiaTheme="minorEastAsia"/>
        </w:rPr>
        <w:t>Our comprehensive analysis revealed that both parks and transit stations exhibited the most substantial deviations from baseline across all areas examined. The graphical representations incorporated the minimum and maximum values within each category, providing a nuanced depiction of the extent of change throughout the entire pandemic period. The observed trends in mobility metrics align logically with the societal response to the pandemic, wherein individuals actively sought to practice social distancing.</w:t>
      </w:r>
    </w:p>
    <w:p w14:paraId="0104524C" w14:textId="27A64370" w:rsidR="00CE7DE9" w:rsidRPr="00CE7DE9" w:rsidRDefault="00CE7DE9" w:rsidP="00CE7DE9">
      <w:pPr>
        <w:rPr>
          <w:rFonts w:eastAsiaTheme="minorEastAsia"/>
        </w:rPr>
      </w:pPr>
      <w:r w:rsidRPr="00CE7DE9">
        <w:rPr>
          <w:rFonts w:eastAsiaTheme="minorEastAsia"/>
        </w:rPr>
        <w:t>Notably, the data indicates a discernible shift away from crowded transit centers, with a concomitant increase in mobility towards parks. This observed surge in park visitation is a plausible outcome, given the expansive and open nature of these spaces, providing individuals with a venue to adhere to social distancing guidelines more effectively. The prominence of parks as areas with the highest mobility aligns cohesively with the public's inclination to seek open environments perceived as having a lower risk of COVID-19 transmission.</w:t>
      </w:r>
    </w:p>
    <w:p w14:paraId="1FFBF557" w14:textId="1DD5DE8B" w:rsidR="1B995EBC" w:rsidRDefault="00CE7DE9" w:rsidP="00CE7DE9">
      <w:pPr>
        <w:rPr>
          <w:rFonts w:eastAsiaTheme="minorEastAsia"/>
          <w:b/>
          <w:bCs/>
          <w:u w:val="single"/>
        </w:rPr>
      </w:pPr>
      <w:r w:rsidRPr="00CE7DE9">
        <w:rPr>
          <w:rFonts w:eastAsiaTheme="minorEastAsia"/>
        </w:rPr>
        <w:lastRenderedPageBreak/>
        <w:t>The significance of these mobility patterns extends beyond mere statistical observations, offering valuable insights into the behavioral adaptations of individuals during the pandemic. Understanding these dynamics can inform future urban planning, public health strategies, and crisis management, fostering a more resilient and responsive approach to similar challenges in the future.</w:t>
      </w:r>
    </w:p>
    <w:p w14:paraId="509212C8" w14:textId="39589486" w:rsidR="4DF9332F" w:rsidRDefault="4DF9332F" w:rsidP="4DF9332F">
      <w:pPr>
        <w:rPr>
          <w:rFonts w:eastAsiaTheme="minorEastAsia"/>
          <w:b/>
          <w:bCs/>
          <w:u w:val="single"/>
        </w:rPr>
      </w:pPr>
    </w:p>
    <w:p w14:paraId="4BD514B9" w14:textId="03BA60C5" w:rsidR="24CC9246" w:rsidRDefault="24CC9246" w:rsidP="4DF9332F">
      <w:pPr>
        <w:rPr>
          <w:rFonts w:eastAsiaTheme="minorEastAsia"/>
          <w:b/>
          <w:bCs/>
          <w:u w:val="single"/>
        </w:rPr>
      </w:pPr>
      <w:r w:rsidRPr="4DF9332F">
        <w:rPr>
          <w:rFonts w:eastAsiaTheme="minorEastAsia"/>
          <w:b/>
          <w:bCs/>
          <w:u w:val="single"/>
        </w:rPr>
        <w:t>Question 2-</w:t>
      </w:r>
    </w:p>
    <w:p w14:paraId="4F6B881C" w14:textId="2C3B5DAA" w:rsidR="4DF9332F" w:rsidRDefault="6D45F8E6" w:rsidP="4DF9332F">
      <w:r>
        <w:rPr>
          <w:noProof/>
        </w:rPr>
        <w:drawing>
          <wp:inline distT="0" distB="0" distL="0" distR="0" wp14:anchorId="2DBA02DE" wp14:editId="3FEDC9B6">
            <wp:extent cx="3261632" cy="670682"/>
            <wp:effectExtent l="0" t="0" r="0" b="0"/>
            <wp:docPr id="1924768974" name="Picture 1924768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768974"/>
                    <pic:cNvPicPr/>
                  </pic:nvPicPr>
                  <pic:blipFill>
                    <a:blip r:embed="rId9">
                      <a:extLst>
                        <a:ext uri="{28A0092B-C50C-407E-A947-70E740481C1C}">
                          <a14:useLocalDpi xmlns:a14="http://schemas.microsoft.com/office/drawing/2010/main" val="0"/>
                        </a:ext>
                      </a:extLst>
                    </a:blip>
                    <a:stretch>
                      <a:fillRect/>
                    </a:stretch>
                  </pic:blipFill>
                  <pic:spPr>
                    <a:xfrm>
                      <a:off x="0" y="0"/>
                      <a:ext cx="3261632" cy="670682"/>
                    </a:xfrm>
                    <a:prstGeom prst="rect">
                      <a:avLst/>
                    </a:prstGeom>
                  </pic:spPr>
                </pic:pic>
              </a:graphicData>
            </a:graphic>
          </wp:inline>
        </w:drawing>
      </w:r>
    </w:p>
    <w:p w14:paraId="2A1DDFF7" w14:textId="57D9C2E6" w:rsidR="6D45F8E6" w:rsidRDefault="3D54CB08" w:rsidP="38AFAEF1">
      <w:r>
        <w:t>The table above shows the t</w:t>
      </w:r>
      <w:r w:rsidR="6D45F8E6">
        <w:t>otal death</w:t>
      </w:r>
      <w:r w:rsidR="47CC08E5">
        <w:t xml:space="preserve"> count</w:t>
      </w:r>
      <w:r w:rsidR="6D45F8E6">
        <w:t xml:space="preserve"> </w:t>
      </w:r>
      <w:r w:rsidR="0A3DD3CC">
        <w:t>within</w:t>
      </w:r>
      <w:r w:rsidR="6D45F8E6">
        <w:t xml:space="preserve"> counties less than and greater than </w:t>
      </w:r>
      <w:r w:rsidR="0CEA0828">
        <w:t xml:space="preserve">a </w:t>
      </w:r>
      <w:r w:rsidR="70C4E80C">
        <w:t>50,000-population</w:t>
      </w:r>
      <w:r w:rsidR="6D45F8E6">
        <w:t xml:space="preserve"> size.</w:t>
      </w:r>
      <w:r w:rsidR="55FD4AE5">
        <w:t xml:space="preserve"> The intent of producing this graph was to see </w:t>
      </w:r>
      <w:r w:rsidR="4CC0B4C3">
        <w:t xml:space="preserve">which </w:t>
      </w:r>
      <w:r w:rsidR="69CA56E9">
        <w:t>category</w:t>
      </w:r>
      <w:r w:rsidR="4CC0B4C3">
        <w:t xml:space="preserve"> produced </w:t>
      </w:r>
      <w:r w:rsidR="1B2A87DC">
        <w:t>the greater</w:t>
      </w:r>
      <w:r w:rsidR="4CC0B4C3">
        <w:t xml:space="preserve"> </w:t>
      </w:r>
      <w:r w:rsidR="0D1C6CF1">
        <w:t>number</w:t>
      </w:r>
      <w:r w:rsidR="4CC0B4C3">
        <w:t xml:space="preserve"> of deaths</w:t>
      </w:r>
      <w:r w:rsidR="1F6EB4D0">
        <w:t>. By seeing this you may think instantly that counties with less than 50,000 residents had it worse, but we thought it would also be important to consider the specific number of counties in each class</w:t>
      </w:r>
      <w:r w:rsidR="23C1BC37">
        <w:t>.</w:t>
      </w:r>
    </w:p>
    <w:p w14:paraId="43D488A1" w14:textId="6B9AB99E" w:rsidR="38AFAEF1" w:rsidRDefault="5E91D112" w:rsidP="337D62C9">
      <w:r>
        <w:rPr>
          <w:noProof/>
        </w:rPr>
        <w:drawing>
          <wp:inline distT="0" distB="0" distL="0" distR="0" wp14:anchorId="38982F69" wp14:editId="327FB77E">
            <wp:extent cx="3648075" cy="769172"/>
            <wp:effectExtent l="0" t="0" r="0" b="0"/>
            <wp:docPr id="494478697" name="Picture 49447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48075" cy="769172"/>
                    </a:xfrm>
                    <a:prstGeom prst="rect">
                      <a:avLst/>
                    </a:prstGeom>
                  </pic:spPr>
                </pic:pic>
              </a:graphicData>
            </a:graphic>
          </wp:inline>
        </w:drawing>
      </w:r>
    </w:p>
    <w:p w14:paraId="444FEF99" w14:textId="2FC16C29" w:rsidR="4CC0B4C3" w:rsidRDefault="4CC0B4C3" w:rsidP="337D62C9">
      <w:pPr>
        <w:rPr>
          <w:color w:val="000000" w:themeColor="text1"/>
        </w:rPr>
      </w:pPr>
      <w:r>
        <w:t xml:space="preserve"> We assumed that because the less than 50,000 </w:t>
      </w:r>
      <w:r w:rsidR="6940CEAD">
        <w:t>categories</w:t>
      </w:r>
      <w:r>
        <w:t xml:space="preserve"> had more deaths that it was because there are more count</w:t>
      </w:r>
      <w:r w:rsidR="540364DF">
        <w:t>ies within the data set that are listed below 50,000.</w:t>
      </w:r>
      <w:r w:rsidR="75DA8D97">
        <w:t xml:space="preserve"> So, we wrote some code to provide the total number of counties that fall within each category.</w:t>
      </w:r>
      <w:r w:rsidR="1FFFC5EB" w:rsidRPr="337D62C9">
        <w:rPr>
          <w:b/>
          <w:bCs/>
          <w:color w:val="FF0000"/>
        </w:rPr>
        <w:t xml:space="preserve"> </w:t>
      </w:r>
      <w:r w:rsidR="024D30DB" w:rsidRPr="337D62C9">
        <w:rPr>
          <w:color w:val="000000" w:themeColor="text1"/>
        </w:rPr>
        <w:t xml:space="preserve">As expected, there were substantially more counties in the less than 50,000 grouping. </w:t>
      </w:r>
      <w:r w:rsidR="1FFFC5EB" w:rsidRPr="337D62C9">
        <w:rPr>
          <w:color w:val="000000" w:themeColor="text1"/>
        </w:rPr>
        <w:t>Because of this, we wanted to see the average amount of deaths across each grou</w:t>
      </w:r>
      <w:r w:rsidR="5EA1907F" w:rsidRPr="337D62C9">
        <w:rPr>
          <w:color w:val="000000" w:themeColor="text1"/>
        </w:rPr>
        <w:t>p so that we could get a better picture on the true effect of population on the death count.</w:t>
      </w:r>
    </w:p>
    <w:p w14:paraId="079B189B" w14:textId="4BB56796" w:rsidR="337D62C9" w:rsidRDefault="337D62C9" w:rsidP="337D62C9">
      <w:pPr>
        <w:rPr>
          <w:b/>
          <w:bCs/>
          <w:color w:val="FF0000"/>
        </w:rPr>
      </w:pPr>
    </w:p>
    <w:p w14:paraId="45D963F1" w14:textId="711F070E" w:rsidR="4EBFEBD9" w:rsidRDefault="4EBFEBD9" w:rsidP="337D62C9">
      <w:r>
        <w:rPr>
          <w:noProof/>
        </w:rPr>
        <w:drawing>
          <wp:inline distT="0" distB="0" distL="0" distR="0" wp14:anchorId="6E6FBA80" wp14:editId="550EB330">
            <wp:extent cx="3905250" cy="1136972"/>
            <wp:effectExtent l="0" t="0" r="0" b="0"/>
            <wp:docPr id="1482358166" name="Picture 148235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05250" cy="1136972"/>
                    </a:xfrm>
                    <a:prstGeom prst="rect">
                      <a:avLst/>
                    </a:prstGeom>
                  </pic:spPr>
                </pic:pic>
              </a:graphicData>
            </a:graphic>
          </wp:inline>
        </w:drawing>
      </w:r>
    </w:p>
    <w:p w14:paraId="0B1283E2" w14:textId="6A02EDFA" w:rsidR="4EBFEBD9" w:rsidRDefault="4EBFEBD9" w:rsidP="337D62C9">
      <w:r>
        <w:t>As expected, the average amount of deaths per county was larger within counties that have above 50,000 residents. This finding could point to the conclusion that the size of a county does have a correlation with the number of deaths.</w:t>
      </w:r>
    </w:p>
    <w:p w14:paraId="78582862" w14:textId="300350AD" w:rsidR="3378FED2" w:rsidRDefault="3378FED2" w:rsidP="337D62C9">
      <w:r>
        <w:rPr>
          <w:noProof/>
        </w:rPr>
        <w:lastRenderedPageBreak/>
        <w:drawing>
          <wp:inline distT="0" distB="0" distL="0" distR="0" wp14:anchorId="0A94C1DF" wp14:editId="6FBE4DD6">
            <wp:extent cx="2971800" cy="971550"/>
            <wp:effectExtent l="0" t="0" r="0" b="0"/>
            <wp:docPr id="1041830941" name="Picture 104183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71800" cy="971550"/>
                    </a:xfrm>
                    <a:prstGeom prst="rect">
                      <a:avLst/>
                    </a:prstGeom>
                  </pic:spPr>
                </pic:pic>
              </a:graphicData>
            </a:graphic>
          </wp:inline>
        </w:drawing>
      </w:r>
    </w:p>
    <w:p w14:paraId="02D5E626" w14:textId="6C31B066" w:rsidR="117429A7" w:rsidRDefault="117429A7" w:rsidP="337D62C9">
      <w:r>
        <w:t xml:space="preserve">This chart shows the sum of the population for each category. Even though there are way more counties, the total population for counties with greater than 50,000 residents </w:t>
      </w:r>
      <w:r w:rsidR="05267756">
        <w:t>are</w:t>
      </w:r>
      <w:r>
        <w:t xml:space="preserve"> much larger than the other class. Regardless, the two sums are rather close. </w:t>
      </w:r>
      <w:r w:rsidR="275ED260">
        <w:t>So,</w:t>
      </w:r>
      <w:r w:rsidR="63422188">
        <w:t xml:space="preserve"> it is surprising to see that counties with less than 50,000 residents </w:t>
      </w:r>
      <w:r w:rsidR="05EE2A3C">
        <w:t>have</w:t>
      </w:r>
      <w:r w:rsidR="63422188">
        <w:t xml:space="preserve"> a higher </w:t>
      </w:r>
      <w:r w:rsidR="7299A7E5">
        <w:t xml:space="preserve">total </w:t>
      </w:r>
      <w:r w:rsidR="63422188">
        <w:t>death count.</w:t>
      </w:r>
      <w:r w:rsidR="7AF70339">
        <w:t xml:space="preserve"> The reason</w:t>
      </w:r>
      <w:r w:rsidR="057F3800">
        <w:t xml:space="preserve">ing behind this </w:t>
      </w:r>
      <w:r w:rsidR="7AF70339">
        <w:t>may be a good thing to investigate i</w:t>
      </w:r>
      <w:r w:rsidR="364147FE">
        <w:t>n</w:t>
      </w:r>
      <w:r w:rsidR="7AF70339">
        <w:t xml:space="preserve"> the future</w:t>
      </w:r>
      <w:r w:rsidR="34617357">
        <w:t xml:space="preserve"> </w:t>
      </w:r>
      <w:r w:rsidR="7AF70339">
        <w:t>as the</w:t>
      </w:r>
      <w:r w:rsidR="55D3547A">
        <w:t xml:space="preserve"> average population numbers suggest there may be some correlation, but overall numbers pertaining to the sum within both classes </w:t>
      </w:r>
      <w:r w:rsidR="32EA7460">
        <w:t>are</w:t>
      </w:r>
      <w:r w:rsidR="55D3547A">
        <w:t xml:space="preserve"> still dodgy.</w:t>
      </w:r>
    </w:p>
    <w:p w14:paraId="2B5EC4ED" w14:textId="59154BBD" w:rsidR="38AFAEF1" w:rsidRDefault="18EFEB59" w:rsidP="38AFAEF1">
      <w:r>
        <w:rPr>
          <w:noProof/>
        </w:rPr>
        <w:drawing>
          <wp:inline distT="0" distB="0" distL="0" distR="0" wp14:anchorId="4F0E40B7" wp14:editId="59ED356E">
            <wp:extent cx="4572000" cy="3124200"/>
            <wp:effectExtent l="0" t="0" r="0" b="0"/>
            <wp:docPr id="475872262" name="Picture 47587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872262"/>
                    <pic:cNvPicPr/>
                  </pic:nvPicPr>
                  <pic:blipFill>
                    <a:blip r:embed="rId13">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08E30962" w14:textId="4D1E6C85" w:rsidR="7BF93524" w:rsidRDefault="7BF93524" w:rsidP="337D62C9">
      <w:r>
        <w:t xml:space="preserve">We created this graph to visualize the total </w:t>
      </w:r>
      <w:r w:rsidR="23F38026">
        <w:t>number</w:t>
      </w:r>
      <w:r>
        <w:t xml:space="preserve"> of deaths in each class. Overall, counties with less than 50,000 residents produced more deaths than counties with greater than 50,000 residents. This is rather surp</w:t>
      </w:r>
      <w:r w:rsidR="1BB04362">
        <w:t>rising given that the overall population for counties with more than 50,000 residents is larger.</w:t>
      </w:r>
      <w:r w:rsidR="2F814100">
        <w:t xml:space="preserve"> But it is also understandable given the fact that there are way more counties with residents below 50,000.</w:t>
      </w:r>
      <w:r w:rsidR="1BB04362">
        <w:t xml:space="preserve"> </w:t>
      </w:r>
      <w:r w:rsidR="7D61810A">
        <w:t>Again, researchers may want to dive deeper to see why the death count was higher for smaller counties when one would normally think that places with higher populations would have more serious consequences.</w:t>
      </w:r>
    </w:p>
    <w:p w14:paraId="132A9648" w14:textId="166CA4AD" w:rsidR="337D62C9" w:rsidRDefault="337D62C9" w:rsidP="337D62C9"/>
    <w:p w14:paraId="66DA595B" w14:textId="45FB619C" w:rsidR="0DB634FC" w:rsidRDefault="0DB634FC" w:rsidP="337D62C9"/>
    <w:p w14:paraId="16807B42" w14:textId="77863817" w:rsidR="24CC9246" w:rsidRDefault="24CC9246" w:rsidP="337D62C9">
      <w:pPr>
        <w:rPr>
          <w:rFonts w:eastAsiaTheme="minorEastAsia"/>
          <w:b/>
          <w:bCs/>
          <w:u w:val="single"/>
        </w:rPr>
      </w:pPr>
      <w:r w:rsidRPr="337D62C9">
        <w:rPr>
          <w:rFonts w:eastAsiaTheme="minorEastAsia"/>
          <w:b/>
          <w:bCs/>
          <w:u w:val="single"/>
        </w:rPr>
        <w:t>Question 3-</w:t>
      </w:r>
    </w:p>
    <w:p w14:paraId="03521895" w14:textId="14DF8C99" w:rsidR="4DF9332F" w:rsidRDefault="47E5A2E9" w:rsidP="337D62C9">
      <w:r>
        <w:rPr>
          <w:noProof/>
        </w:rPr>
        <w:lastRenderedPageBreak/>
        <w:drawing>
          <wp:inline distT="0" distB="0" distL="0" distR="0" wp14:anchorId="33EED49A" wp14:editId="31B7EC34">
            <wp:extent cx="5876925" cy="1016218"/>
            <wp:effectExtent l="0" t="0" r="0" b="0"/>
            <wp:docPr id="1046919018" name="Picture 1046919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6925" cy="1016218"/>
                    </a:xfrm>
                    <a:prstGeom prst="rect">
                      <a:avLst/>
                    </a:prstGeom>
                  </pic:spPr>
                </pic:pic>
              </a:graphicData>
            </a:graphic>
          </wp:inline>
        </w:drawing>
      </w:r>
    </w:p>
    <w:p w14:paraId="3FC3B067" w14:textId="4F0114E4" w:rsidR="47E5A2E9" w:rsidRDefault="47E5A2E9" w:rsidP="337D62C9">
      <w:r>
        <w:rPr>
          <w:noProof/>
        </w:rPr>
        <w:drawing>
          <wp:inline distT="0" distB="0" distL="0" distR="0" wp14:anchorId="67F58B9C" wp14:editId="400134D7">
            <wp:extent cx="4572000" cy="1371600"/>
            <wp:effectExtent l="0" t="0" r="0" b="0"/>
            <wp:docPr id="591092930" name="Picture 59109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53FC3538" w14:textId="1E922EA0" w:rsidR="15A9E4EC" w:rsidRDefault="15A9E4EC" w:rsidP="15A9E4EC"/>
    <w:p w14:paraId="633D0FB1" w14:textId="27DFE71B" w:rsidR="337BB705" w:rsidRDefault="337BB705" w:rsidP="337BB705"/>
    <w:p w14:paraId="78FD6592" w14:textId="266B8F84" w:rsidR="19261531" w:rsidRDefault="19261531" w:rsidP="337D62C9">
      <w:r>
        <w:t>The top 10 worst case to death ratios by county</w:t>
      </w:r>
      <w:r w:rsidR="744BDE94">
        <w:t xml:space="preserve"> and the associated effects in terms of mobility by sector</w:t>
      </w:r>
      <w:r>
        <w:t xml:space="preserve"> are shown above in the table. A new column has been calculated to show this total</w:t>
      </w:r>
      <w:r w:rsidR="02BDF0BD">
        <w:t xml:space="preserve">. </w:t>
      </w:r>
      <w:r>
        <w:t xml:space="preserve">As expected, the mobility patterns in each of these counties are largely </w:t>
      </w:r>
      <w:r w:rsidR="27C42430">
        <w:t>affected</w:t>
      </w:r>
      <w:r>
        <w:t xml:space="preserve"> in comparison to other counties.</w:t>
      </w:r>
      <w:r w:rsidR="00A8419C">
        <w:t xml:space="preserve"> This shows correlation between extreme medical effects and mobility tendencies. Also,</w:t>
      </w:r>
      <w:r w:rsidR="6DA6BA11">
        <w:t xml:space="preserve"> </w:t>
      </w:r>
      <w:r w:rsidR="00A8419C">
        <w:t>s</w:t>
      </w:r>
      <w:r w:rsidR="6DA6BA11">
        <w:t>ix out of ten of these counties are those which have populations above 50,000. This provides good insight into why these top 10 counties may have a bad case to death ratio.</w:t>
      </w:r>
    </w:p>
    <w:p w14:paraId="61F896E1" w14:textId="4A926D2A" w:rsidR="6AEFD33A" w:rsidRDefault="61FFBF4C" w:rsidP="6AEFD33A">
      <w:r>
        <w:rPr>
          <w:noProof/>
        </w:rPr>
        <w:drawing>
          <wp:inline distT="0" distB="0" distL="0" distR="0" wp14:anchorId="07CA40F4" wp14:editId="0F3B2EBE">
            <wp:extent cx="3914775" cy="3124200"/>
            <wp:effectExtent l="0" t="0" r="0" b="0"/>
            <wp:docPr id="1402910585" name="Picture 140291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910585"/>
                    <pic:cNvPicPr/>
                  </pic:nvPicPr>
                  <pic:blipFill>
                    <a:blip r:embed="rId16">
                      <a:extLst>
                        <a:ext uri="{28A0092B-C50C-407E-A947-70E740481C1C}">
                          <a14:useLocalDpi xmlns:a14="http://schemas.microsoft.com/office/drawing/2010/main" val="0"/>
                        </a:ext>
                      </a:extLst>
                    </a:blip>
                    <a:stretch>
                      <a:fillRect/>
                    </a:stretch>
                  </pic:blipFill>
                  <pic:spPr>
                    <a:xfrm>
                      <a:off x="0" y="0"/>
                      <a:ext cx="3914775" cy="3124200"/>
                    </a:xfrm>
                    <a:prstGeom prst="rect">
                      <a:avLst/>
                    </a:prstGeom>
                  </pic:spPr>
                </pic:pic>
              </a:graphicData>
            </a:graphic>
          </wp:inline>
        </w:drawing>
      </w:r>
    </w:p>
    <w:p w14:paraId="7ADA6B51" w14:textId="55060D9A" w:rsidR="0773DD98" w:rsidRDefault="0773DD98" w:rsidP="337D62C9">
      <w:r>
        <w:t xml:space="preserve">This chart visualizes the top 10 counties with the worst case to death ratio, in which </w:t>
      </w:r>
      <w:r w:rsidR="3B474B28">
        <w:t>Johnson County</w:t>
      </w:r>
      <w:r>
        <w:t xml:space="preserve"> was the worst. This is not surprising because it is a county that contains some of the largest cit</w:t>
      </w:r>
      <w:r w:rsidR="5EFC90D2">
        <w:t>ies in Iowa.</w:t>
      </w:r>
    </w:p>
    <w:p w14:paraId="6E937854" w14:textId="1C168A97" w:rsidR="337D62C9" w:rsidRDefault="337D62C9" w:rsidP="337D62C9"/>
    <w:p w14:paraId="5B01689A" w14:textId="217EE6E4" w:rsidR="24CC9246" w:rsidRDefault="24CC9246" w:rsidP="4DF9332F">
      <w:pPr>
        <w:rPr>
          <w:rFonts w:eastAsiaTheme="minorEastAsia"/>
          <w:b/>
          <w:bCs/>
          <w:u w:val="single"/>
        </w:rPr>
      </w:pPr>
      <w:r w:rsidRPr="4DF9332F">
        <w:rPr>
          <w:rFonts w:eastAsiaTheme="minorEastAsia"/>
          <w:b/>
          <w:bCs/>
          <w:u w:val="single"/>
        </w:rPr>
        <w:t>Question 4-</w:t>
      </w:r>
    </w:p>
    <w:p w14:paraId="0CF32EE4" w14:textId="1BD32966" w:rsidR="008868FE" w:rsidRDefault="000066DE" w:rsidP="4DF9332F">
      <w:pPr>
        <w:rPr>
          <w:rFonts w:eastAsiaTheme="minorEastAsia"/>
          <w:b/>
          <w:bCs/>
          <w:u w:val="single"/>
        </w:rPr>
      </w:pPr>
      <w:r>
        <w:rPr>
          <w:noProof/>
        </w:rPr>
        <w:drawing>
          <wp:inline distT="0" distB="0" distL="0" distR="0" wp14:anchorId="25294EB0" wp14:editId="32DA474D">
            <wp:extent cx="6469138" cy="3513615"/>
            <wp:effectExtent l="0" t="0" r="9525" b="9525"/>
            <wp:docPr id="1346713545" name="Picture 1346713545" descr="A graph of covid-19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713545"/>
                    <pic:cNvPicPr/>
                  </pic:nvPicPr>
                  <pic:blipFill>
                    <a:blip r:embed="rId17">
                      <a:extLst>
                        <a:ext uri="{28A0092B-C50C-407E-A947-70E740481C1C}">
                          <a14:useLocalDpi xmlns:a14="http://schemas.microsoft.com/office/drawing/2010/main" val="0"/>
                        </a:ext>
                      </a:extLst>
                    </a:blip>
                    <a:stretch>
                      <a:fillRect/>
                    </a:stretch>
                  </pic:blipFill>
                  <pic:spPr>
                    <a:xfrm>
                      <a:off x="0" y="0"/>
                      <a:ext cx="6469138" cy="3513615"/>
                    </a:xfrm>
                    <a:prstGeom prst="rect">
                      <a:avLst/>
                    </a:prstGeom>
                  </pic:spPr>
                </pic:pic>
              </a:graphicData>
            </a:graphic>
          </wp:inline>
        </w:drawing>
      </w:r>
    </w:p>
    <w:p w14:paraId="6F186301" w14:textId="2566BD6B" w:rsidR="00AF5F07" w:rsidRPr="00AF5F07" w:rsidRDefault="30392F78" w:rsidP="00AF5F07">
      <w:pPr>
        <w:rPr>
          <w:rFonts w:eastAsiaTheme="minorEastAsia"/>
        </w:rPr>
      </w:pPr>
      <w:r w:rsidRPr="337D62C9">
        <w:rPr>
          <w:rFonts w:eastAsiaTheme="minorEastAsia"/>
        </w:rPr>
        <w:t>We wanted to look further into</w:t>
      </w:r>
      <w:r w:rsidR="27922E0A" w:rsidRPr="337D62C9">
        <w:rPr>
          <w:rFonts w:eastAsiaTheme="minorEastAsia"/>
        </w:rPr>
        <w:t xml:space="preserve"> the effects on mobility of counties that had a high case rate.</w:t>
      </w:r>
      <w:r w:rsidR="005C195A">
        <w:rPr>
          <w:rFonts w:eastAsiaTheme="minorEastAsia"/>
        </w:rPr>
        <w:t xml:space="preserve"> </w:t>
      </w:r>
      <w:r w:rsidR="00AF5F07" w:rsidRPr="00AF5F07">
        <w:rPr>
          <w:rFonts w:eastAsiaTheme="minorEastAsia"/>
        </w:rPr>
        <w:t>The analysis of mobility changes in relation to COVID-19 case counts across the top 10 counties revealed noteworthy findings. Contrary to expectations, Polk County, boasting the highest case count, did not exhibit the highest decline in mobility concerning retail and recreation. This observation is intriguing, particularly given Polk County's status as home to Des Moines, the state's largest city. A plausible explanation for this anomaly could be Iowa's comparatively lax approach to COVID regulations, fostering a segment of the population in larger cities, including Des Moines, with a diminished inclination to curtail mobility.</w:t>
      </w:r>
    </w:p>
    <w:p w14:paraId="79124948" w14:textId="5CD935E8" w:rsidR="00AF5F07" w:rsidRPr="00AF5F07" w:rsidRDefault="00AF5F07" w:rsidP="00AF5F07">
      <w:pPr>
        <w:rPr>
          <w:rFonts w:eastAsiaTheme="minorEastAsia"/>
        </w:rPr>
      </w:pPr>
      <w:r w:rsidRPr="00AF5F07">
        <w:rPr>
          <w:rFonts w:eastAsiaTheme="minorEastAsia"/>
        </w:rPr>
        <w:t>In contrast, Johnson County displayed a substantial reduction in retail and recreation mobility, aligning with its reputation for adopting a more stringent stance toward COVID-19. This correlation suggests that communities with a heightened sense of caution and compliance with pandemic guidelines experienced greater declines in mobility. Notably, Johnson County's business landscape bore the brunt of these measures, witnessing significant challenges during the pandemic as stricter adherence to COVID protocols resulted in a notable loss of customers.</w:t>
      </w:r>
    </w:p>
    <w:p w14:paraId="036AD894" w14:textId="4D924731" w:rsidR="1B995EBC" w:rsidRDefault="00AF5F07" w:rsidP="60A67DC4">
      <w:pPr>
        <w:rPr>
          <w:rFonts w:eastAsiaTheme="minorEastAsia"/>
        </w:rPr>
      </w:pPr>
      <w:r w:rsidRPr="60A67DC4">
        <w:rPr>
          <w:rFonts w:eastAsiaTheme="minorEastAsia"/>
        </w:rPr>
        <w:t>This analysis lends support to the argument that stringent COVID regulations may disproportionately impact small businesses. Going forward, the insights derived from this data can serve as a valuable resource in illustrating the potential adverse effects of stringent pandemic-related measures on local economies, particularly within the context of small businesses.</w:t>
      </w:r>
    </w:p>
    <w:p w14:paraId="50890B7A" w14:textId="77777777" w:rsidR="00F24E6F" w:rsidRDefault="00F24E6F" w:rsidP="60A67DC4">
      <w:pPr>
        <w:rPr>
          <w:rFonts w:eastAsiaTheme="minorEastAsia"/>
        </w:rPr>
      </w:pPr>
    </w:p>
    <w:p w14:paraId="3548EF7C" w14:textId="77777777" w:rsidR="00F24E6F" w:rsidRDefault="00F24E6F" w:rsidP="60A67DC4">
      <w:pPr>
        <w:rPr>
          <w:rFonts w:eastAsiaTheme="minorEastAsia"/>
        </w:rPr>
      </w:pPr>
    </w:p>
    <w:p w14:paraId="774623B8" w14:textId="77777777" w:rsidR="005C195A" w:rsidRDefault="005C195A" w:rsidP="60A67DC4">
      <w:pPr>
        <w:rPr>
          <w:rFonts w:eastAsiaTheme="minorEastAsia"/>
        </w:rPr>
      </w:pPr>
    </w:p>
    <w:p w14:paraId="0F9CCA0E" w14:textId="2B616FAB" w:rsidR="6C58A1D0" w:rsidRPr="00F24E6F" w:rsidRDefault="6C58A1D0" w:rsidP="60A67DC4">
      <w:pPr>
        <w:rPr>
          <w:rFonts w:eastAsiaTheme="minorEastAsia"/>
          <w:b/>
          <w:bCs/>
          <w:color w:val="7F7F7F" w:themeColor="text1" w:themeTint="80"/>
        </w:rPr>
      </w:pPr>
      <w:r w:rsidRPr="00F24E6F">
        <w:rPr>
          <w:rFonts w:eastAsiaTheme="minorEastAsia"/>
          <w:b/>
          <w:bCs/>
          <w:color w:val="7F7F7F" w:themeColor="text1" w:themeTint="80"/>
        </w:rPr>
        <w:t>Code file specifics:</w:t>
      </w:r>
    </w:p>
    <w:p w14:paraId="55D46B96" w14:textId="1854C9B3" w:rsidR="60A67DC4" w:rsidRDefault="00F24E6F" w:rsidP="60A67DC4">
      <w:pPr>
        <w:rPr>
          <w:rFonts w:eastAsiaTheme="minorEastAsia"/>
        </w:rPr>
      </w:pPr>
      <w:r>
        <w:rPr>
          <w:rFonts w:eastAsiaTheme="minorEastAsia"/>
        </w:rPr>
        <w:t>All things related to cleaning, merging, and the analysis for questions 2 and 3 are in the file “</w:t>
      </w:r>
      <w:r w:rsidRPr="00F24E6F">
        <w:rPr>
          <w:rFonts w:eastAsiaTheme="minorEastAsia"/>
        </w:rPr>
        <w:t>rcfoster,jsheridan_merge, cleaning, and analysis for questions 2 and 3.R</w:t>
      </w:r>
      <w:r>
        <w:rPr>
          <w:rFonts w:eastAsiaTheme="minorEastAsia"/>
        </w:rPr>
        <w:t>” and the associated R data file.</w:t>
      </w:r>
    </w:p>
    <w:p w14:paraId="2C47F106" w14:textId="77777777" w:rsidR="00F24E6F" w:rsidRDefault="00F24E6F" w:rsidP="60A67DC4">
      <w:pPr>
        <w:rPr>
          <w:rFonts w:eastAsiaTheme="minorEastAsia"/>
        </w:rPr>
      </w:pPr>
    </w:p>
    <w:p w14:paraId="27BF43F8" w14:textId="67CAD9BE" w:rsidR="00F24E6F" w:rsidRDefault="00F24E6F" w:rsidP="60A67DC4">
      <w:pPr>
        <w:rPr>
          <w:rFonts w:eastAsiaTheme="minorEastAsia"/>
        </w:rPr>
      </w:pPr>
      <w:r>
        <w:rPr>
          <w:rFonts w:eastAsiaTheme="minorEastAsia"/>
        </w:rPr>
        <w:t>All things related to the analysis for questions 1 and 4 are in the file “</w:t>
      </w:r>
      <w:r w:rsidRPr="00F24E6F">
        <w:rPr>
          <w:rFonts w:eastAsiaTheme="minorEastAsia"/>
        </w:rPr>
        <w:t>rcfoster,jsheridan_Questions 1 and 4 analysis.R</w:t>
      </w:r>
      <w:r>
        <w:rPr>
          <w:rFonts w:eastAsiaTheme="minorEastAsia"/>
        </w:rPr>
        <w:t>” and the associated R data file.</w:t>
      </w:r>
    </w:p>
    <w:p w14:paraId="34A8F63B" w14:textId="77777777" w:rsidR="000040C4" w:rsidRDefault="000040C4" w:rsidP="1B995EBC">
      <w:pPr>
        <w:rPr>
          <w:rFonts w:eastAsiaTheme="minorEastAsia"/>
        </w:rPr>
      </w:pPr>
    </w:p>
    <w:p w14:paraId="4974AE63" w14:textId="576AC999" w:rsidR="000040C4" w:rsidRDefault="60A67DC4" w:rsidP="60A67DC4">
      <w:pPr>
        <w:spacing w:line="257" w:lineRule="auto"/>
        <w:rPr>
          <w:rFonts w:ascii="Calibri" w:eastAsia="Calibri" w:hAnsi="Calibri" w:cs="Calibri"/>
          <w:b/>
          <w:bCs/>
          <w:sz w:val="28"/>
          <w:szCs w:val="28"/>
        </w:rPr>
      </w:pPr>
      <w:r w:rsidRPr="60A67DC4">
        <w:rPr>
          <w:rFonts w:ascii="Calibri" w:eastAsia="Calibri" w:hAnsi="Calibri" w:cs="Calibri"/>
          <w:b/>
          <w:bCs/>
          <w:sz w:val="28"/>
          <w:szCs w:val="28"/>
        </w:rPr>
        <w:t xml:space="preserve">4. </w:t>
      </w:r>
      <w:r w:rsidR="4AFBC668" w:rsidRPr="60A67DC4">
        <w:rPr>
          <w:rFonts w:ascii="Calibri" w:eastAsia="Calibri" w:hAnsi="Calibri" w:cs="Calibri"/>
          <w:b/>
          <w:bCs/>
          <w:sz w:val="28"/>
          <w:szCs w:val="28"/>
        </w:rPr>
        <w:t>Conclusion:</w:t>
      </w:r>
    </w:p>
    <w:p w14:paraId="3918C83A" w14:textId="0853D319" w:rsidR="1C503CA4" w:rsidRDefault="1C503CA4" w:rsidP="5E53A52B">
      <w:pPr>
        <w:rPr>
          <w:rFonts w:eastAsiaTheme="minorEastAsia"/>
        </w:rPr>
      </w:pPr>
      <w:r w:rsidRPr="5E53A52B">
        <w:rPr>
          <w:rFonts w:eastAsiaTheme="minorEastAsia"/>
        </w:rPr>
        <w:t xml:space="preserve">In summary, our </w:t>
      </w:r>
      <w:r w:rsidR="4AFBC668" w:rsidRPr="5E53A52B">
        <w:rPr>
          <w:rFonts w:eastAsiaTheme="minorEastAsia"/>
        </w:rPr>
        <w:t xml:space="preserve">analysis of COVID-19's impact on Iowa counties revealed significant shifts in mobility patterns, with parks </w:t>
      </w:r>
      <w:r w:rsidR="08D9C8EF" w:rsidRPr="5E53A52B">
        <w:rPr>
          <w:rFonts w:eastAsiaTheme="minorEastAsia"/>
        </w:rPr>
        <w:t>and transit stations as the biggest movers</w:t>
      </w:r>
      <w:r w:rsidR="4AFBC668" w:rsidRPr="5E53A52B">
        <w:rPr>
          <w:rFonts w:eastAsiaTheme="minorEastAsia"/>
        </w:rPr>
        <w:t xml:space="preserve"> during the pandemic. Counties with populations below 50,000 exhibited higher total death counts, but those exceeding 50,000 showed a higher average death count per county, suggesting a correlation between population size and mortality. The top 10 counties with the worst case to death ratios experienced notable mobility disruptions, predominantly in sectors like parks and transit stations. Surprisingly, stringent COVID-19 regulations in Johnson County correlated with a substantial reduction in retail and recreation mobility, underscoring the potential economic impact of pandemic measures on local businesses. </w:t>
      </w:r>
      <w:r w:rsidR="52C42042" w:rsidRPr="5E53A52B">
        <w:rPr>
          <w:rFonts w:eastAsiaTheme="minorEastAsia"/>
        </w:rPr>
        <w:t xml:space="preserve">The information provided by this analysis could be useful in the future if the world were to ever experience another pandemic. </w:t>
      </w:r>
      <w:r w:rsidR="4AFBC668" w:rsidRPr="5E53A52B">
        <w:rPr>
          <w:rFonts w:eastAsiaTheme="minorEastAsia"/>
        </w:rPr>
        <w:t xml:space="preserve">While </w:t>
      </w:r>
      <w:r w:rsidR="515423B2" w:rsidRPr="5E53A52B">
        <w:rPr>
          <w:rFonts w:eastAsiaTheme="minorEastAsia"/>
        </w:rPr>
        <w:t>this project provides</w:t>
      </w:r>
      <w:r w:rsidR="4AFBC668" w:rsidRPr="5E53A52B">
        <w:rPr>
          <w:rFonts w:eastAsiaTheme="minorEastAsia"/>
        </w:rPr>
        <w:t xml:space="preserve"> valuable insights, the study is limited by the absence of economic data and t</w:t>
      </w:r>
      <w:r w:rsidR="2DFDFB25" w:rsidRPr="5E53A52B">
        <w:rPr>
          <w:rFonts w:eastAsiaTheme="minorEastAsia"/>
        </w:rPr>
        <w:t>ime series data.</w:t>
      </w:r>
      <w:r w:rsidR="4AFBC668" w:rsidRPr="5E53A52B">
        <w:rPr>
          <w:rFonts w:eastAsiaTheme="minorEastAsia"/>
        </w:rPr>
        <w:t xml:space="preserve"> Future research should consider these aspects for a more comprehensive understanding of the pandemic's </w:t>
      </w:r>
      <w:r w:rsidR="78E9F7E1" w:rsidRPr="5E53A52B">
        <w:rPr>
          <w:rFonts w:eastAsiaTheme="minorEastAsia"/>
        </w:rPr>
        <w:t xml:space="preserve">overall </w:t>
      </w:r>
      <w:r w:rsidR="4AFBC668" w:rsidRPr="5E53A52B">
        <w:rPr>
          <w:rFonts w:eastAsiaTheme="minorEastAsia"/>
        </w:rPr>
        <w:t>effect on Iowa's counties.</w:t>
      </w:r>
    </w:p>
    <w:p w14:paraId="4AD311C9" w14:textId="25F3535C" w:rsidR="1B995EBC" w:rsidRDefault="1B995EBC" w:rsidP="60A67DC4">
      <w:pPr>
        <w:rPr>
          <w:rFonts w:eastAsiaTheme="minorEastAsia"/>
        </w:rPr>
      </w:pPr>
    </w:p>
    <w:p w14:paraId="1287068A" w14:textId="0FF91CEF" w:rsidR="005C19A9" w:rsidRDefault="005C19A9" w:rsidP="1B995EBC">
      <w:pPr>
        <w:rPr>
          <w:rFonts w:ascii="Calibri" w:eastAsia="Calibri" w:hAnsi="Calibri" w:cs="Calibri"/>
        </w:rPr>
      </w:pPr>
    </w:p>
    <w:sectPr w:rsidR="005C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DA89A"/>
    <w:multiLevelType w:val="hybridMultilevel"/>
    <w:tmpl w:val="CD060786"/>
    <w:lvl w:ilvl="0" w:tplc="06A40D7C">
      <w:start w:val="1"/>
      <w:numFmt w:val="bullet"/>
      <w:lvlText w:val="·"/>
      <w:lvlJc w:val="left"/>
      <w:pPr>
        <w:ind w:left="720" w:hanging="360"/>
      </w:pPr>
      <w:rPr>
        <w:rFonts w:ascii="Symbol" w:hAnsi="Symbol" w:hint="default"/>
      </w:rPr>
    </w:lvl>
    <w:lvl w:ilvl="1" w:tplc="A0BAA636">
      <w:start w:val="1"/>
      <w:numFmt w:val="bullet"/>
      <w:lvlText w:val="o"/>
      <w:lvlJc w:val="left"/>
      <w:pPr>
        <w:ind w:left="1440" w:hanging="360"/>
      </w:pPr>
      <w:rPr>
        <w:rFonts w:ascii="Courier New" w:hAnsi="Courier New" w:hint="default"/>
      </w:rPr>
    </w:lvl>
    <w:lvl w:ilvl="2" w:tplc="DD521102">
      <w:start w:val="1"/>
      <w:numFmt w:val="bullet"/>
      <w:lvlText w:val=""/>
      <w:lvlJc w:val="left"/>
      <w:pPr>
        <w:ind w:left="2160" w:hanging="360"/>
      </w:pPr>
      <w:rPr>
        <w:rFonts w:ascii="Wingdings" w:hAnsi="Wingdings" w:hint="default"/>
      </w:rPr>
    </w:lvl>
    <w:lvl w:ilvl="3" w:tplc="DA9E7E04">
      <w:start w:val="1"/>
      <w:numFmt w:val="bullet"/>
      <w:lvlText w:val=""/>
      <w:lvlJc w:val="left"/>
      <w:pPr>
        <w:ind w:left="2880" w:hanging="360"/>
      </w:pPr>
      <w:rPr>
        <w:rFonts w:ascii="Symbol" w:hAnsi="Symbol" w:hint="default"/>
      </w:rPr>
    </w:lvl>
    <w:lvl w:ilvl="4" w:tplc="07802DBA">
      <w:start w:val="1"/>
      <w:numFmt w:val="bullet"/>
      <w:lvlText w:val="o"/>
      <w:lvlJc w:val="left"/>
      <w:pPr>
        <w:ind w:left="3600" w:hanging="360"/>
      </w:pPr>
      <w:rPr>
        <w:rFonts w:ascii="Courier New" w:hAnsi="Courier New" w:hint="default"/>
      </w:rPr>
    </w:lvl>
    <w:lvl w:ilvl="5" w:tplc="9AAC4586">
      <w:start w:val="1"/>
      <w:numFmt w:val="bullet"/>
      <w:lvlText w:val=""/>
      <w:lvlJc w:val="left"/>
      <w:pPr>
        <w:ind w:left="4320" w:hanging="360"/>
      </w:pPr>
      <w:rPr>
        <w:rFonts w:ascii="Wingdings" w:hAnsi="Wingdings" w:hint="default"/>
      </w:rPr>
    </w:lvl>
    <w:lvl w:ilvl="6" w:tplc="89ECAB38">
      <w:start w:val="1"/>
      <w:numFmt w:val="bullet"/>
      <w:lvlText w:val=""/>
      <w:lvlJc w:val="left"/>
      <w:pPr>
        <w:ind w:left="5040" w:hanging="360"/>
      </w:pPr>
      <w:rPr>
        <w:rFonts w:ascii="Symbol" w:hAnsi="Symbol" w:hint="default"/>
      </w:rPr>
    </w:lvl>
    <w:lvl w:ilvl="7" w:tplc="2EEA2186">
      <w:start w:val="1"/>
      <w:numFmt w:val="bullet"/>
      <w:lvlText w:val="o"/>
      <w:lvlJc w:val="left"/>
      <w:pPr>
        <w:ind w:left="5760" w:hanging="360"/>
      </w:pPr>
      <w:rPr>
        <w:rFonts w:ascii="Courier New" w:hAnsi="Courier New" w:hint="default"/>
      </w:rPr>
    </w:lvl>
    <w:lvl w:ilvl="8" w:tplc="92D0B372">
      <w:start w:val="1"/>
      <w:numFmt w:val="bullet"/>
      <w:lvlText w:val=""/>
      <w:lvlJc w:val="left"/>
      <w:pPr>
        <w:ind w:left="6480" w:hanging="360"/>
      </w:pPr>
      <w:rPr>
        <w:rFonts w:ascii="Wingdings" w:hAnsi="Wingdings" w:hint="default"/>
      </w:rPr>
    </w:lvl>
  </w:abstractNum>
  <w:abstractNum w:abstractNumId="1" w15:restartNumberingAfterBreak="0">
    <w:nsid w:val="3DC84848"/>
    <w:multiLevelType w:val="hybridMultilevel"/>
    <w:tmpl w:val="A03CC530"/>
    <w:lvl w:ilvl="0" w:tplc="508A5238">
      <w:start w:val="1"/>
      <w:numFmt w:val="bullet"/>
      <w:lvlText w:val="-"/>
      <w:lvlJc w:val="left"/>
      <w:pPr>
        <w:ind w:left="720" w:hanging="360"/>
      </w:pPr>
      <w:rPr>
        <w:rFonts w:ascii="Calibri" w:hAnsi="Calibri" w:hint="default"/>
      </w:rPr>
    </w:lvl>
    <w:lvl w:ilvl="1" w:tplc="9EEC728E">
      <w:start w:val="1"/>
      <w:numFmt w:val="bullet"/>
      <w:lvlText w:val="o"/>
      <w:lvlJc w:val="left"/>
      <w:pPr>
        <w:ind w:left="1440" w:hanging="360"/>
      </w:pPr>
      <w:rPr>
        <w:rFonts w:ascii="Courier New" w:hAnsi="Courier New" w:hint="default"/>
      </w:rPr>
    </w:lvl>
    <w:lvl w:ilvl="2" w:tplc="56B6F67C">
      <w:start w:val="1"/>
      <w:numFmt w:val="bullet"/>
      <w:lvlText w:val=""/>
      <w:lvlJc w:val="left"/>
      <w:pPr>
        <w:ind w:left="2160" w:hanging="360"/>
      </w:pPr>
      <w:rPr>
        <w:rFonts w:ascii="Wingdings" w:hAnsi="Wingdings" w:hint="default"/>
      </w:rPr>
    </w:lvl>
    <w:lvl w:ilvl="3" w:tplc="9D30CAA4">
      <w:start w:val="1"/>
      <w:numFmt w:val="bullet"/>
      <w:lvlText w:val=""/>
      <w:lvlJc w:val="left"/>
      <w:pPr>
        <w:ind w:left="2880" w:hanging="360"/>
      </w:pPr>
      <w:rPr>
        <w:rFonts w:ascii="Symbol" w:hAnsi="Symbol" w:hint="default"/>
      </w:rPr>
    </w:lvl>
    <w:lvl w:ilvl="4" w:tplc="9EFCB52E">
      <w:start w:val="1"/>
      <w:numFmt w:val="bullet"/>
      <w:lvlText w:val="o"/>
      <w:lvlJc w:val="left"/>
      <w:pPr>
        <w:ind w:left="3600" w:hanging="360"/>
      </w:pPr>
      <w:rPr>
        <w:rFonts w:ascii="Courier New" w:hAnsi="Courier New" w:hint="default"/>
      </w:rPr>
    </w:lvl>
    <w:lvl w:ilvl="5" w:tplc="434AE44A">
      <w:start w:val="1"/>
      <w:numFmt w:val="bullet"/>
      <w:lvlText w:val=""/>
      <w:lvlJc w:val="left"/>
      <w:pPr>
        <w:ind w:left="4320" w:hanging="360"/>
      </w:pPr>
      <w:rPr>
        <w:rFonts w:ascii="Wingdings" w:hAnsi="Wingdings" w:hint="default"/>
      </w:rPr>
    </w:lvl>
    <w:lvl w:ilvl="6" w:tplc="A5F2DA94">
      <w:start w:val="1"/>
      <w:numFmt w:val="bullet"/>
      <w:lvlText w:val=""/>
      <w:lvlJc w:val="left"/>
      <w:pPr>
        <w:ind w:left="5040" w:hanging="360"/>
      </w:pPr>
      <w:rPr>
        <w:rFonts w:ascii="Symbol" w:hAnsi="Symbol" w:hint="default"/>
      </w:rPr>
    </w:lvl>
    <w:lvl w:ilvl="7" w:tplc="0A0CE0C4">
      <w:start w:val="1"/>
      <w:numFmt w:val="bullet"/>
      <w:lvlText w:val="o"/>
      <w:lvlJc w:val="left"/>
      <w:pPr>
        <w:ind w:left="5760" w:hanging="360"/>
      </w:pPr>
      <w:rPr>
        <w:rFonts w:ascii="Courier New" w:hAnsi="Courier New" w:hint="default"/>
      </w:rPr>
    </w:lvl>
    <w:lvl w:ilvl="8" w:tplc="7076FF2C">
      <w:start w:val="1"/>
      <w:numFmt w:val="bullet"/>
      <w:lvlText w:val=""/>
      <w:lvlJc w:val="left"/>
      <w:pPr>
        <w:ind w:left="6480" w:hanging="360"/>
      </w:pPr>
      <w:rPr>
        <w:rFonts w:ascii="Wingdings" w:hAnsi="Wingdings" w:hint="default"/>
      </w:rPr>
    </w:lvl>
  </w:abstractNum>
  <w:abstractNum w:abstractNumId="2" w15:restartNumberingAfterBreak="0">
    <w:nsid w:val="4035652C"/>
    <w:multiLevelType w:val="hybridMultilevel"/>
    <w:tmpl w:val="0E88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97FB0"/>
    <w:multiLevelType w:val="hybridMultilevel"/>
    <w:tmpl w:val="9848A9F6"/>
    <w:lvl w:ilvl="0" w:tplc="EED032F0">
      <w:start w:val="1"/>
      <w:numFmt w:val="bullet"/>
      <w:lvlText w:val="·"/>
      <w:lvlJc w:val="left"/>
      <w:pPr>
        <w:ind w:left="720" w:hanging="360"/>
      </w:pPr>
      <w:rPr>
        <w:rFonts w:ascii="Symbol" w:hAnsi="Symbol" w:hint="default"/>
      </w:rPr>
    </w:lvl>
    <w:lvl w:ilvl="1" w:tplc="8BA6CF7E">
      <w:start w:val="1"/>
      <w:numFmt w:val="bullet"/>
      <w:lvlText w:val="o"/>
      <w:lvlJc w:val="left"/>
      <w:pPr>
        <w:ind w:left="1440" w:hanging="360"/>
      </w:pPr>
      <w:rPr>
        <w:rFonts w:ascii="Courier New" w:hAnsi="Courier New" w:hint="default"/>
      </w:rPr>
    </w:lvl>
    <w:lvl w:ilvl="2" w:tplc="CC2C614E">
      <w:start w:val="1"/>
      <w:numFmt w:val="bullet"/>
      <w:lvlText w:val=""/>
      <w:lvlJc w:val="left"/>
      <w:pPr>
        <w:ind w:left="2160" w:hanging="360"/>
      </w:pPr>
      <w:rPr>
        <w:rFonts w:ascii="Wingdings" w:hAnsi="Wingdings" w:hint="default"/>
      </w:rPr>
    </w:lvl>
    <w:lvl w:ilvl="3" w:tplc="469C2BC0">
      <w:start w:val="1"/>
      <w:numFmt w:val="bullet"/>
      <w:lvlText w:val=""/>
      <w:lvlJc w:val="left"/>
      <w:pPr>
        <w:ind w:left="2880" w:hanging="360"/>
      </w:pPr>
      <w:rPr>
        <w:rFonts w:ascii="Symbol" w:hAnsi="Symbol" w:hint="default"/>
      </w:rPr>
    </w:lvl>
    <w:lvl w:ilvl="4" w:tplc="D89C76F2">
      <w:start w:val="1"/>
      <w:numFmt w:val="bullet"/>
      <w:lvlText w:val="o"/>
      <w:lvlJc w:val="left"/>
      <w:pPr>
        <w:ind w:left="3600" w:hanging="360"/>
      </w:pPr>
      <w:rPr>
        <w:rFonts w:ascii="Courier New" w:hAnsi="Courier New" w:hint="default"/>
      </w:rPr>
    </w:lvl>
    <w:lvl w:ilvl="5" w:tplc="806657FA">
      <w:start w:val="1"/>
      <w:numFmt w:val="bullet"/>
      <w:lvlText w:val=""/>
      <w:lvlJc w:val="left"/>
      <w:pPr>
        <w:ind w:left="4320" w:hanging="360"/>
      </w:pPr>
      <w:rPr>
        <w:rFonts w:ascii="Wingdings" w:hAnsi="Wingdings" w:hint="default"/>
      </w:rPr>
    </w:lvl>
    <w:lvl w:ilvl="6" w:tplc="906AA364">
      <w:start w:val="1"/>
      <w:numFmt w:val="bullet"/>
      <w:lvlText w:val=""/>
      <w:lvlJc w:val="left"/>
      <w:pPr>
        <w:ind w:left="5040" w:hanging="360"/>
      </w:pPr>
      <w:rPr>
        <w:rFonts w:ascii="Symbol" w:hAnsi="Symbol" w:hint="default"/>
      </w:rPr>
    </w:lvl>
    <w:lvl w:ilvl="7" w:tplc="DECCB7C4">
      <w:start w:val="1"/>
      <w:numFmt w:val="bullet"/>
      <w:lvlText w:val="o"/>
      <w:lvlJc w:val="left"/>
      <w:pPr>
        <w:ind w:left="5760" w:hanging="360"/>
      </w:pPr>
      <w:rPr>
        <w:rFonts w:ascii="Courier New" w:hAnsi="Courier New" w:hint="default"/>
      </w:rPr>
    </w:lvl>
    <w:lvl w:ilvl="8" w:tplc="500430D2">
      <w:start w:val="1"/>
      <w:numFmt w:val="bullet"/>
      <w:lvlText w:val=""/>
      <w:lvlJc w:val="left"/>
      <w:pPr>
        <w:ind w:left="6480" w:hanging="360"/>
      </w:pPr>
      <w:rPr>
        <w:rFonts w:ascii="Wingdings" w:hAnsi="Wingdings" w:hint="default"/>
      </w:rPr>
    </w:lvl>
  </w:abstractNum>
  <w:abstractNum w:abstractNumId="4" w15:restartNumberingAfterBreak="0">
    <w:nsid w:val="543D8C3B"/>
    <w:multiLevelType w:val="hybridMultilevel"/>
    <w:tmpl w:val="FFFFFFFF"/>
    <w:lvl w:ilvl="0" w:tplc="344EFA38">
      <w:start w:val="1"/>
      <w:numFmt w:val="bullet"/>
      <w:lvlText w:val="-"/>
      <w:lvlJc w:val="left"/>
      <w:pPr>
        <w:ind w:left="720" w:hanging="360"/>
      </w:pPr>
      <w:rPr>
        <w:rFonts w:ascii="Calibri" w:hAnsi="Calibri" w:hint="default"/>
      </w:rPr>
    </w:lvl>
    <w:lvl w:ilvl="1" w:tplc="E898D5BE">
      <w:start w:val="1"/>
      <w:numFmt w:val="bullet"/>
      <w:lvlText w:val="o"/>
      <w:lvlJc w:val="left"/>
      <w:pPr>
        <w:ind w:left="1440" w:hanging="360"/>
      </w:pPr>
      <w:rPr>
        <w:rFonts w:ascii="Courier New" w:hAnsi="Courier New" w:hint="default"/>
      </w:rPr>
    </w:lvl>
    <w:lvl w:ilvl="2" w:tplc="7F28C06C">
      <w:start w:val="1"/>
      <w:numFmt w:val="bullet"/>
      <w:lvlText w:val=""/>
      <w:lvlJc w:val="left"/>
      <w:pPr>
        <w:ind w:left="2160" w:hanging="360"/>
      </w:pPr>
      <w:rPr>
        <w:rFonts w:ascii="Wingdings" w:hAnsi="Wingdings" w:hint="default"/>
      </w:rPr>
    </w:lvl>
    <w:lvl w:ilvl="3" w:tplc="6B2C0E42">
      <w:start w:val="1"/>
      <w:numFmt w:val="bullet"/>
      <w:lvlText w:val=""/>
      <w:lvlJc w:val="left"/>
      <w:pPr>
        <w:ind w:left="2880" w:hanging="360"/>
      </w:pPr>
      <w:rPr>
        <w:rFonts w:ascii="Symbol" w:hAnsi="Symbol" w:hint="default"/>
      </w:rPr>
    </w:lvl>
    <w:lvl w:ilvl="4" w:tplc="4D368260">
      <w:start w:val="1"/>
      <w:numFmt w:val="bullet"/>
      <w:lvlText w:val="o"/>
      <w:lvlJc w:val="left"/>
      <w:pPr>
        <w:ind w:left="3600" w:hanging="360"/>
      </w:pPr>
      <w:rPr>
        <w:rFonts w:ascii="Courier New" w:hAnsi="Courier New" w:hint="default"/>
      </w:rPr>
    </w:lvl>
    <w:lvl w:ilvl="5" w:tplc="3F16B052">
      <w:start w:val="1"/>
      <w:numFmt w:val="bullet"/>
      <w:lvlText w:val=""/>
      <w:lvlJc w:val="left"/>
      <w:pPr>
        <w:ind w:left="4320" w:hanging="360"/>
      </w:pPr>
      <w:rPr>
        <w:rFonts w:ascii="Wingdings" w:hAnsi="Wingdings" w:hint="default"/>
      </w:rPr>
    </w:lvl>
    <w:lvl w:ilvl="6" w:tplc="A74EDEB6">
      <w:start w:val="1"/>
      <w:numFmt w:val="bullet"/>
      <w:lvlText w:val=""/>
      <w:lvlJc w:val="left"/>
      <w:pPr>
        <w:ind w:left="5040" w:hanging="360"/>
      </w:pPr>
      <w:rPr>
        <w:rFonts w:ascii="Symbol" w:hAnsi="Symbol" w:hint="default"/>
      </w:rPr>
    </w:lvl>
    <w:lvl w:ilvl="7" w:tplc="833E4676">
      <w:start w:val="1"/>
      <w:numFmt w:val="bullet"/>
      <w:lvlText w:val="o"/>
      <w:lvlJc w:val="left"/>
      <w:pPr>
        <w:ind w:left="5760" w:hanging="360"/>
      </w:pPr>
      <w:rPr>
        <w:rFonts w:ascii="Courier New" w:hAnsi="Courier New" w:hint="default"/>
      </w:rPr>
    </w:lvl>
    <w:lvl w:ilvl="8" w:tplc="A3707F7C">
      <w:start w:val="1"/>
      <w:numFmt w:val="bullet"/>
      <w:lvlText w:val=""/>
      <w:lvlJc w:val="left"/>
      <w:pPr>
        <w:ind w:left="6480" w:hanging="360"/>
      </w:pPr>
      <w:rPr>
        <w:rFonts w:ascii="Wingdings" w:hAnsi="Wingdings" w:hint="default"/>
      </w:rPr>
    </w:lvl>
  </w:abstractNum>
  <w:abstractNum w:abstractNumId="5" w15:restartNumberingAfterBreak="0">
    <w:nsid w:val="57E87968"/>
    <w:multiLevelType w:val="hybridMultilevel"/>
    <w:tmpl w:val="2BDA9BB2"/>
    <w:lvl w:ilvl="0" w:tplc="73842096">
      <w:start w:val="1"/>
      <w:numFmt w:val="bullet"/>
      <w:lvlText w:val="·"/>
      <w:lvlJc w:val="left"/>
      <w:pPr>
        <w:ind w:left="720" w:hanging="360"/>
      </w:pPr>
      <w:rPr>
        <w:rFonts w:ascii="Symbol" w:hAnsi="Symbol" w:hint="default"/>
      </w:rPr>
    </w:lvl>
    <w:lvl w:ilvl="1" w:tplc="900CB622">
      <w:start w:val="1"/>
      <w:numFmt w:val="bullet"/>
      <w:lvlText w:val="o"/>
      <w:lvlJc w:val="left"/>
      <w:pPr>
        <w:ind w:left="1440" w:hanging="360"/>
      </w:pPr>
      <w:rPr>
        <w:rFonts w:ascii="Courier New" w:hAnsi="Courier New" w:hint="default"/>
      </w:rPr>
    </w:lvl>
    <w:lvl w:ilvl="2" w:tplc="ACA26F8A">
      <w:start w:val="1"/>
      <w:numFmt w:val="bullet"/>
      <w:lvlText w:val=""/>
      <w:lvlJc w:val="left"/>
      <w:pPr>
        <w:ind w:left="2160" w:hanging="360"/>
      </w:pPr>
      <w:rPr>
        <w:rFonts w:ascii="Wingdings" w:hAnsi="Wingdings" w:hint="default"/>
      </w:rPr>
    </w:lvl>
    <w:lvl w:ilvl="3" w:tplc="689CAB0A">
      <w:start w:val="1"/>
      <w:numFmt w:val="bullet"/>
      <w:lvlText w:val=""/>
      <w:lvlJc w:val="left"/>
      <w:pPr>
        <w:ind w:left="2880" w:hanging="360"/>
      </w:pPr>
      <w:rPr>
        <w:rFonts w:ascii="Symbol" w:hAnsi="Symbol" w:hint="default"/>
      </w:rPr>
    </w:lvl>
    <w:lvl w:ilvl="4" w:tplc="29A4E16C">
      <w:start w:val="1"/>
      <w:numFmt w:val="bullet"/>
      <w:lvlText w:val="o"/>
      <w:lvlJc w:val="left"/>
      <w:pPr>
        <w:ind w:left="3600" w:hanging="360"/>
      </w:pPr>
      <w:rPr>
        <w:rFonts w:ascii="Courier New" w:hAnsi="Courier New" w:hint="default"/>
      </w:rPr>
    </w:lvl>
    <w:lvl w:ilvl="5" w:tplc="9D66F202">
      <w:start w:val="1"/>
      <w:numFmt w:val="bullet"/>
      <w:lvlText w:val=""/>
      <w:lvlJc w:val="left"/>
      <w:pPr>
        <w:ind w:left="4320" w:hanging="360"/>
      </w:pPr>
      <w:rPr>
        <w:rFonts w:ascii="Wingdings" w:hAnsi="Wingdings" w:hint="default"/>
      </w:rPr>
    </w:lvl>
    <w:lvl w:ilvl="6" w:tplc="D4AC61BA">
      <w:start w:val="1"/>
      <w:numFmt w:val="bullet"/>
      <w:lvlText w:val=""/>
      <w:lvlJc w:val="left"/>
      <w:pPr>
        <w:ind w:left="5040" w:hanging="360"/>
      </w:pPr>
      <w:rPr>
        <w:rFonts w:ascii="Symbol" w:hAnsi="Symbol" w:hint="default"/>
      </w:rPr>
    </w:lvl>
    <w:lvl w:ilvl="7" w:tplc="8280C5D0">
      <w:start w:val="1"/>
      <w:numFmt w:val="bullet"/>
      <w:lvlText w:val="o"/>
      <w:lvlJc w:val="left"/>
      <w:pPr>
        <w:ind w:left="5760" w:hanging="360"/>
      </w:pPr>
      <w:rPr>
        <w:rFonts w:ascii="Courier New" w:hAnsi="Courier New" w:hint="default"/>
      </w:rPr>
    </w:lvl>
    <w:lvl w:ilvl="8" w:tplc="30FCC4F6">
      <w:start w:val="1"/>
      <w:numFmt w:val="bullet"/>
      <w:lvlText w:val=""/>
      <w:lvlJc w:val="left"/>
      <w:pPr>
        <w:ind w:left="6480" w:hanging="360"/>
      </w:pPr>
      <w:rPr>
        <w:rFonts w:ascii="Wingdings" w:hAnsi="Wingdings" w:hint="default"/>
      </w:rPr>
    </w:lvl>
  </w:abstractNum>
  <w:abstractNum w:abstractNumId="6" w15:restartNumberingAfterBreak="0">
    <w:nsid w:val="6533C0E5"/>
    <w:multiLevelType w:val="hybridMultilevel"/>
    <w:tmpl w:val="D924ED3A"/>
    <w:lvl w:ilvl="0" w:tplc="7B608FB8">
      <w:start w:val="1"/>
      <w:numFmt w:val="decimal"/>
      <w:lvlText w:val="%1."/>
      <w:lvlJc w:val="left"/>
      <w:pPr>
        <w:ind w:left="720" w:hanging="360"/>
      </w:pPr>
    </w:lvl>
    <w:lvl w:ilvl="1" w:tplc="33165ED6">
      <w:start w:val="1"/>
      <w:numFmt w:val="lowerLetter"/>
      <w:lvlText w:val="%2."/>
      <w:lvlJc w:val="left"/>
      <w:pPr>
        <w:ind w:left="1440" w:hanging="360"/>
      </w:pPr>
    </w:lvl>
    <w:lvl w:ilvl="2" w:tplc="B16282DC">
      <w:start w:val="1"/>
      <w:numFmt w:val="lowerRoman"/>
      <w:lvlText w:val="%3."/>
      <w:lvlJc w:val="right"/>
      <w:pPr>
        <w:ind w:left="2160" w:hanging="180"/>
      </w:pPr>
    </w:lvl>
    <w:lvl w:ilvl="3" w:tplc="B14C2072">
      <w:start w:val="1"/>
      <w:numFmt w:val="decimal"/>
      <w:lvlText w:val="%4."/>
      <w:lvlJc w:val="left"/>
      <w:pPr>
        <w:ind w:left="2880" w:hanging="360"/>
      </w:pPr>
    </w:lvl>
    <w:lvl w:ilvl="4" w:tplc="04C2CB1E">
      <w:start w:val="1"/>
      <w:numFmt w:val="lowerLetter"/>
      <w:lvlText w:val="%5."/>
      <w:lvlJc w:val="left"/>
      <w:pPr>
        <w:ind w:left="3600" w:hanging="360"/>
      </w:pPr>
    </w:lvl>
    <w:lvl w:ilvl="5" w:tplc="E4C26936">
      <w:start w:val="1"/>
      <w:numFmt w:val="lowerRoman"/>
      <w:lvlText w:val="%6."/>
      <w:lvlJc w:val="right"/>
      <w:pPr>
        <w:ind w:left="4320" w:hanging="180"/>
      </w:pPr>
    </w:lvl>
    <w:lvl w:ilvl="6" w:tplc="D778BAA6">
      <w:start w:val="1"/>
      <w:numFmt w:val="decimal"/>
      <w:lvlText w:val="%7."/>
      <w:lvlJc w:val="left"/>
      <w:pPr>
        <w:ind w:left="5040" w:hanging="360"/>
      </w:pPr>
    </w:lvl>
    <w:lvl w:ilvl="7" w:tplc="04C0BCCA">
      <w:start w:val="1"/>
      <w:numFmt w:val="lowerLetter"/>
      <w:lvlText w:val="%8."/>
      <w:lvlJc w:val="left"/>
      <w:pPr>
        <w:ind w:left="5760" w:hanging="360"/>
      </w:pPr>
    </w:lvl>
    <w:lvl w:ilvl="8" w:tplc="43906238">
      <w:start w:val="1"/>
      <w:numFmt w:val="lowerRoman"/>
      <w:lvlText w:val="%9."/>
      <w:lvlJc w:val="right"/>
      <w:pPr>
        <w:ind w:left="6480" w:hanging="180"/>
      </w:pPr>
    </w:lvl>
  </w:abstractNum>
  <w:abstractNum w:abstractNumId="7" w15:restartNumberingAfterBreak="0">
    <w:nsid w:val="6BD70994"/>
    <w:multiLevelType w:val="hybridMultilevel"/>
    <w:tmpl w:val="E6A4BA48"/>
    <w:lvl w:ilvl="0" w:tplc="D0E68402">
      <w:start w:val="1"/>
      <w:numFmt w:val="bullet"/>
      <w:lvlText w:val="·"/>
      <w:lvlJc w:val="left"/>
      <w:pPr>
        <w:ind w:left="720" w:hanging="360"/>
      </w:pPr>
      <w:rPr>
        <w:rFonts w:ascii="Symbol" w:hAnsi="Symbol" w:hint="default"/>
      </w:rPr>
    </w:lvl>
    <w:lvl w:ilvl="1" w:tplc="C38668B8">
      <w:start w:val="1"/>
      <w:numFmt w:val="bullet"/>
      <w:lvlText w:val="o"/>
      <w:lvlJc w:val="left"/>
      <w:pPr>
        <w:ind w:left="1440" w:hanging="360"/>
      </w:pPr>
      <w:rPr>
        <w:rFonts w:ascii="Courier New" w:hAnsi="Courier New" w:hint="default"/>
      </w:rPr>
    </w:lvl>
    <w:lvl w:ilvl="2" w:tplc="C46CD61E">
      <w:start w:val="1"/>
      <w:numFmt w:val="bullet"/>
      <w:lvlText w:val=""/>
      <w:lvlJc w:val="left"/>
      <w:pPr>
        <w:ind w:left="2160" w:hanging="360"/>
      </w:pPr>
      <w:rPr>
        <w:rFonts w:ascii="Wingdings" w:hAnsi="Wingdings" w:hint="default"/>
      </w:rPr>
    </w:lvl>
    <w:lvl w:ilvl="3" w:tplc="CC2A0F8C">
      <w:start w:val="1"/>
      <w:numFmt w:val="bullet"/>
      <w:lvlText w:val=""/>
      <w:lvlJc w:val="left"/>
      <w:pPr>
        <w:ind w:left="2880" w:hanging="360"/>
      </w:pPr>
      <w:rPr>
        <w:rFonts w:ascii="Symbol" w:hAnsi="Symbol" w:hint="default"/>
      </w:rPr>
    </w:lvl>
    <w:lvl w:ilvl="4" w:tplc="CB120E18">
      <w:start w:val="1"/>
      <w:numFmt w:val="bullet"/>
      <w:lvlText w:val="o"/>
      <w:lvlJc w:val="left"/>
      <w:pPr>
        <w:ind w:left="3600" w:hanging="360"/>
      </w:pPr>
      <w:rPr>
        <w:rFonts w:ascii="Courier New" w:hAnsi="Courier New" w:hint="default"/>
      </w:rPr>
    </w:lvl>
    <w:lvl w:ilvl="5" w:tplc="FFB45D00">
      <w:start w:val="1"/>
      <w:numFmt w:val="bullet"/>
      <w:lvlText w:val=""/>
      <w:lvlJc w:val="left"/>
      <w:pPr>
        <w:ind w:left="4320" w:hanging="360"/>
      </w:pPr>
      <w:rPr>
        <w:rFonts w:ascii="Wingdings" w:hAnsi="Wingdings" w:hint="default"/>
      </w:rPr>
    </w:lvl>
    <w:lvl w:ilvl="6" w:tplc="23527A32">
      <w:start w:val="1"/>
      <w:numFmt w:val="bullet"/>
      <w:lvlText w:val=""/>
      <w:lvlJc w:val="left"/>
      <w:pPr>
        <w:ind w:left="5040" w:hanging="360"/>
      </w:pPr>
      <w:rPr>
        <w:rFonts w:ascii="Symbol" w:hAnsi="Symbol" w:hint="default"/>
      </w:rPr>
    </w:lvl>
    <w:lvl w:ilvl="7" w:tplc="5D4C8F3A">
      <w:start w:val="1"/>
      <w:numFmt w:val="bullet"/>
      <w:lvlText w:val="o"/>
      <w:lvlJc w:val="left"/>
      <w:pPr>
        <w:ind w:left="5760" w:hanging="360"/>
      </w:pPr>
      <w:rPr>
        <w:rFonts w:ascii="Courier New" w:hAnsi="Courier New" w:hint="default"/>
      </w:rPr>
    </w:lvl>
    <w:lvl w:ilvl="8" w:tplc="4F0E1FE4">
      <w:start w:val="1"/>
      <w:numFmt w:val="bullet"/>
      <w:lvlText w:val=""/>
      <w:lvlJc w:val="left"/>
      <w:pPr>
        <w:ind w:left="6480" w:hanging="360"/>
      </w:pPr>
      <w:rPr>
        <w:rFonts w:ascii="Wingdings" w:hAnsi="Wingdings" w:hint="default"/>
      </w:rPr>
    </w:lvl>
  </w:abstractNum>
  <w:abstractNum w:abstractNumId="8" w15:restartNumberingAfterBreak="0">
    <w:nsid w:val="6E47B4C6"/>
    <w:multiLevelType w:val="hybridMultilevel"/>
    <w:tmpl w:val="73E23242"/>
    <w:lvl w:ilvl="0" w:tplc="8BB04D82">
      <w:start w:val="2"/>
      <w:numFmt w:val="decimal"/>
      <w:lvlText w:val="%1."/>
      <w:lvlJc w:val="left"/>
      <w:pPr>
        <w:ind w:left="720" w:hanging="360"/>
      </w:pPr>
    </w:lvl>
    <w:lvl w:ilvl="1" w:tplc="F69C738E">
      <w:start w:val="1"/>
      <w:numFmt w:val="lowerLetter"/>
      <w:lvlText w:val="%2."/>
      <w:lvlJc w:val="left"/>
      <w:pPr>
        <w:ind w:left="1440" w:hanging="360"/>
      </w:pPr>
    </w:lvl>
    <w:lvl w:ilvl="2" w:tplc="92BE24EE">
      <w:start w:val="1"/>
      <w:numFmt w:val="lowerRoman"/>
      <w:lvlText w:val="%3."/>
      <w:lvlJc w:val="right"/>
      <w:pPr>
        <w:ind w:left="2160" w:hanging="180"/>
      </w:pPr>
    </w:lvl>
    <w:lvl w:ilvl="3" w:tplc="092ADAB0">
      <w:start w:val="1"/>
      <w:numFmt w:val="decimal"/>
      <w:lvlText w:val="%4."/>
      <w:lvlJc w:val="left"/>
      <w:pPr>
        <w:ind w:left="2880" w:hanging="360"/>
      </w:pPr>
    </w:lvl>
    <w:lvl w:ilvl="4" w:tplc="115EB680">
      <w:start w:val="1"/>
      <w:numFmt w:val="lowerLetter"/>
      <w:lvlText w:val="%5."/>
      <w:lvlJc w:val="left"/>
      <w:pPr>
        <w:ind w:left="3600" w:hanging="360"/>
      </w:pPr>
    </w:lvl>
    <w:lvl w:ilvl="5" w:tplc="D2A0EE02">
      <w:start w:val="1"/>
      <w:numFmt w:val="lowerRoman"/>
      <w:lvlText w:val="%6."/>
      <w:lvlJc w:val="right"/>
      <w:pPr>
        <w:ind w:left="4320" w:hanging="180"/>
      </w:pPr>
    </w:lvl>
    <w:lvl w:ilvl="6" w:tplc="80187A80">
      <w:start w:val="1"/>
      <w:numFmt w:val="decimal"/>
      <w:lvlText w:val="%7."/>
      <w:lvlJc w:val="left"/>
      <w:pPr>
        <w:ind w:left="5040" w:hanging="360"/>
      </w:pPr>
    </w:lvl>
    <w:lvl w:ilvl="7" w:tplc="E6561A5A">
      <w:start w:val="1"/>
      <w:numFmt w:val="lowerLetter"/>
      <w:lvlText w:val="%8."/>
      <w:lvlJc w:val="left"/>
      <w:pPr>
        <w:ind w:left="5760" w:hanging="360"/>
      </w:pPr>
    </w:lvl>
    <w:lvl w:ilvl="8" w:tplc="63A6394E">
      <w:start w:val="1"/>
      <w:numFmt w:val="lowerRoman"/>
      <w:lvlText w:val="%9."/>
      <w:lvlJc w:val="right"/>
      <w:pPr>
        <w:ind w:left="6480" w:hanging="180"/>
      </w:pPr>
    </w:lvl>
  </w:abstractNum>
  <w:num w:numId="1" w16cid:durableId="1762020257">
    <w:abstractNumId w:val="1"/>
  </w:num>
  <w:num w:numId="2" w16cid:durableId="1831865367">
    <w:abstractNumId w:val="8"/>
  </w:num>
  <w:num w:numId="3" w16cid:durableId="31078317">
    <w:abstractNumId w:val="6"/>
  </w:num>
  <w:num w:numId="4" w16cid:durableId="53238452">
    <w:abstractNumId w:val="7"/>
  </w:num>
  <w:num w:numId="5" w16cid:durableId="1317300016">
    <w:abstractNumId w:val="3"/>
  </w:num>
  <w:num w:numId="6" w16cid:durableId="1605724222">
    <w:abstractNumId w:val="5"/>
  </w:num>
  <w:num w:numId="7" w16cid:durableId="341593342">
    <w:abstractNumId w:val="0"/>
  </w:num>
  <w:num w:numId="8" w16cid:durableId="1507405752">
    <w:abstractNumId w:val="4"/>
  </w:num>
  <w:num w:numId="9" w16cid:durableId="1221287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D84176"/>
    <w:rsid w:val="000040C4"/>
    <w:rsid w:val="000066DE"/>
    <w:rsid w:val="00010504"/>
    <w:rsid w:val="00015201"/>
    <w:rsid w:val="000243BA"/>
    <w:rsid w:val="000646C1"/>
    <w:rsid w:val="0007247E"/>
    <w:rsid w:val="000850A4"/>
    <w:rsid w:val="000923D4"/>
    <w:rsid w:val="00103E5F"/>
    <w:rsid w:val="001248A7"/>
    <w:rsid w:val="00130CEA"/>
    <w:rsid w:val="00175018"/>
    <w:rsid w:val="001A4D72"/>
    <w:rsid w:val="001C0B1C"/>
    <w:rsid w:val="001C380F"/>
    <w:rsid w:val="001C7175"/>
    <w:rsid w:val="001D55F9"/>
    <w:rsid w:val="001F104F"/>
    <w:rsid w:val="00226021"/>
    <w:rsid w:val="00245CB5"/>
    <w:rsid w:val="00283500"/>
    <w:rsid w:val="002971A5"/>
    <w:rsid w:val="002F3F02"/>
    <w:rsid w:val="00304D84"/>
    <w:rsid w:val="003417A9"/>
    <w:rsid w:val="00385341"/>
    <w:rsid w:val="00389AC5"/>
    <w:rsid w:val="003A1562"/>
    <w:rsid w:val="003A4B2E"/>
    <w:rsid w:val="00404B0D"/>
    <w:rsid w:val="0044671D"/>
    <w:rsid w:val="0049677D"/>
    <w:rsid w:val="004A3529"/>
    <w:rsid w:val="004C1EAE"/>
    <w:rsid w:val="004C767D"/>
    <w:rsid w:val="00550B4B"/>
    <w:rsid w:val="0055373E"/>
    <w:rsid w:val="005545EA"/>
    <w:rsid w:val="005B2C89"/>
    <w:rsid w:val="005C195A"/>
    <w:rsid w:val="005C19A9"/>
    <w:rsid w:val="005D0A8D"/>
    <w:rsid w:val="005D0BD4"/>
    <w:rsid w:val="005D7240"/>
    <w:rsid w:val="005E5CC9"/>
    <w:rsid w:val="00673962"/>
    <w:rsid w:val="0067589D"/>
    <w:rsid w:val="00685985"/>
    <w:rsid w:val="00687A9B"/>
    <w:rsid w:val="006A4B94"/>
    <w:rsid w:val="006E1D22"/>
    <w:rsid w:val="006F0ACC"/>
    <w:rsid w:val="00737509"/>
    <w:rsid w:val="00737DCA"/>
    <w:rsid w:val="007439DD"/>
    <w:rsid w:val="007637D8"/>
    <w:rsid w:val="00764607"/>
    <w:rsid w:val="00772028"/>
    <w:rsid w:val="00775FDA"/>
    <w:rsid w:val="00784C92"/>
    <w:rsid w:val="007928BC"/>
    <w:rsid w:val="0080725C"/>
    <w:rsid w:val="00825418"/>
    <w:rsid w:val="00845AF7"/>
    <w:rsid w:val="00845F35"/>
    <w:rsid w:val="008868FE"/>
    <w:rsid w:val="008A064E"/>
    <w:rsid w:val="008B724F"/>
    <w:rsid w:val="008D22FF"/>
    <w:rsid w:val="008E2A37"/>
    <w:rsid w:val="008F3773"/>
    <w:rsid w:val="009004DD"/>
    <w:rsid w:val="00917AE3"/>
    <w:rsid w:val="00926015"/>
    <w:rsid w:val="009312CE"/>
    <w:rsid w:val="009446D3"/>
    <w:rsid w:val="00975938"/>
    <w:rsid w:val="009A7149"/>
    <w:rsid w:val="009C4A54"/>
    <w:rsid w:val="009D69D5"/>
    <w:rsid w:val="009F7D38"/>
    <w:rsid w:val="009F7D8C"/>
    <w:rsid w:val="00A009AA"/>
    <w:rsid w:val="00A23699"/>
    <w:rsid w:val="00A57E70"/>
    <w:rsid w:val="00A61DEA"/>
    <w:rsid w:val="00A656DD"/>
    <w:rsid w:val="00A708C7"/>
    <w:rsid w:val="00A77042"/>
    <w:rsid w:val="00A8419C"/>
    <w:rsid w:val="00AA567C"/>
    <w:rsid w:val="00AC6BB0"/>
    <w:rsid w:val="00AD2617"/>
    <w:rsid w:val="00AE1E9D"/>
    <w:rsid w:val="00AF5F07"/>
    <w:rsid w:val="00AF6C9B"/>
    <w:rsid w:val="00B032BD"/>
    <w:rsid w:val="00B07033"/>
    <w:rsid w:val="00B146FC"/>
    <w:rsid w:val="00B14A6E"/>
    <w:rsid w:val="00B3050B"/>
    <w:rsid w:val="00B51719"/>
    <w:rsid w:val="00BA485A"/>
    <w:rsid w:val="00C04ECE"/>
    <w:rsid w:val="00C40417"/>
    <w:rsid w:val="00C43A93"/>
    <w:rsid w:val="00C86381"/>
    <w:rsid w:val="00C894EB"/>
    <w:rsid w:val="00CA5B44"/>
    <w:rsid w:val="00CB5F93"/>
    <w:rsid w:val="00CC0FF4"/>
    <w:rsid w:val="00CE1364"/>
    <w:rsid w:val="00CE7825"/>
    <w:rsid w:val="00CE7DE9"/>
    <w:rsid w:val="00D210AF"/>
    <w:rsid w:val="00D22A0F"/>
    <w:rsid w:val="00DA1762"/>
    <w:rsid w:val="00DB248E"/>
    <w:rsid w:val="00DE512D"/>
    <w:rsid w:val="00E0278A"/>
    <w:rsid w:val="00E06475"/>
    <w:rsid w:val="00E1BD48"/>
    <w:rsid w:val="00E276C1"/>
    <w:rsid w:val="00E46EDD"/>
    <w:rsid w:val="00E71C46"/>
    <w:rsid w:val="00ED0156"/>
    <w:rsid w:val="00F1063D"/>
    <w:rsid w:val="00F16372"/>
    <w:rsid w:val="00F24E6F"/>
    <w:rsid w:val="00F275E6"/>
    <w:rsid w:val="00F52836"/>
    <w:rsid w:val="00F55341"/>
    <w:rsid w:val="00FC5134"/>
    <w:rsid w:val="00FC5BCE"/>
    <w:rsid w:val="00FD3600"/>
    <w:rsid w:val="00FF015B"/>
    <w:rsid w:val="00FF18C4"/>
    <w:rsid w:val="011BC4F1"/>
    <w:rsid w:val="01943792"/>
    <w:rsid w:val="024D30DB"/>
    <w:rsid w:val="0286B665"/>
    <w:rsid w:val="02BDF0BD"/>
    <w:rsid w:val="0344B1CC"/>
    <w:rsid w:val="0349D462"/>
    <w:rsid w:val="03E2ECAC"/>
    <w:rsid w:val="051F4723"/>
    <w:rsid w:val="05267756"/>
    <w:rsid w:val="053B59B5"/>
    <w:rsid w:val="056037DB"/>
    <w:rsid w:val="057F3800"/>
    <w:rsid w:val="05A6F532"/>
    <w:rsid w:val="05EE2A3C"/>
    <w:rsid w:val="075FE904"/>
    <w:rsid w:val="0773DD98"/>
    <w:rsid w:val="08B11D06"/>
    <w:rsid w:val="08D9C8EF"/>
    <w:rsid w:val="0A3DD3CC"/>
    <w:rsid w:val="0B45AE1C"/>
    <w:rsid w:val="0B96CB31"/>
    <w:rsid w:val="0C92E4B5"/>
    <w:rsid w:val="0CEA0828"/>
    <w:rsid w:val="0D1C6CF1"/>
    <w:rsid w:val="0D3CEB78"/>
    <w:rsid w:val="0D97AFCA"/>
    <w:rsid w:val="0DB634FC"/>
    <w:rsid w:val="104FD3A4"/>
    <w:rsid w:val="108C3D70"/>
    <w:rsid w:val="10A471F0"/>
    <w:rsid w:val="10BF2FB0"/>
    <w:rsid w:val="1122F29C"/>
    <w:rsid w:val="117429A7"/>
    <w:rsid w:val="11F27C76"/>
    <w:rsid w:val="139E1953"/>
    <w:rsid w:val="153C5A2F"/>
    <w:rsid w:val="15A9E4EC"/>
    <w:rsid w:val="168DDACA"/>
    <w:rsid w:val="17B55771"/>
    <w:rsid w:val="17D84176"/>
    <w:rsid w:val="1831FDE2"/>
    <w:rsid w:val="185171AD"/>
    <w:rsid w:val="18EFEB59"/>
    <w:rsid w:val="19261531"/>
    <w:rsid w:val="1A571990"/>
    <w:rsid w:val="1AAB1127"/>
    <w:rsid w:val="1B2A87DC"/>
    <w:rsid w:val="1B995EBC"/>
    <w:rsid w:val="1BB04362"/>
    <w:rsid w:val="1C503CA4"/>
    <w:rsid w:val="1C95ECDF"/>
    <w:rsid w:val="1CA73DA1"/>
    <w:rsid w:val="1CEA3E4F"/>
    <w:rsid w:val="1CEF3FD0"/>
    <w:rsid w:val="1E205B05"/>
    <w:rsid w:val="1E8B1031"/>
    <w:rsid w:val="1EEA3178"/>
    <w:rsid w:val="1F6EB4D0"/>
    <w:rsid w:val="1FDB7EA7"/>
    <w:rsid w:val="1FFFC5EB"/>
    <w:rsid w:val="203C5120"/>
    <w:rsid w:val="208601D9"/>
    <w:rsid w:val="20B8DC76"/>
    <w:rsid w:val="23C1BC37"/>
    <w:rsid w:val="23F23F33"/>
    <w:rsid w:val="23F38026"/>
    <w:rsid w:val="23FEF588"/>
    <w:rsid w:val="241AD025"/>
    <w:rsid w:val="24CC9246"/>
    <w:rsid w:val="251874DA"/>
    <w:rsid w:val="254F266D"/>
    <w:rsid w:val="26422236"/>
    <w:rsid w:val="275ED260"/>
    <w:rsid w:val="27922E0A"/>
    <w:rsid w:val="27C42430"/>
    <w:rsid w:val="28F90B39"/>
    <w:rsid w:val="2AE1C3A4"/>
    <w:rsid w:val="2B74AC99"/>
    <w:rsid w:val="2DAE99C8"/>
    <w:rsid w:val="2DFDFB25"/>
    <w:rsid w:val="2E2CD54A"/>
    <w:rsid w:val="2EE9C802"/>
    <w:rsid w:val="2F0B638D"/>
    <w:rsid w:val="2F814100"/>
    <w:rsid w:val="2FAE2325"/>
    <w:rsid w:val="30392F78"/>
    <w:rsid w:val="305EFDB8"/>
    <w:rsid w:val="3126F158"/>
    <w:rsid w:val="314465E2"/>
    <w:rsid w:val="32A383EC"/>
    <w:rsid w:val="32E03643"/>
    <w:rsid w:val="32EA7460"/>
    <w:rsid w:val="33692600"/>
    <w:rsid w:val="3378FED2"/>
    <w:rsid w:val="337BB705"/>
    <w:rsid w:val="337D62C9"/>
    <w:rsid w:val="34617357"/>
    <w:rsid w:val="35D7A371"/>
    <w:rsid w:val="364147FE"/>
    <w:rsid w:val="36C0F988"/>
    <w:rsid w:val="37A816D9"/>
    <w:rsid w:val="38AFAEF1"/>
    <w:rsid w:val="390F4433"/>
    <w:rsid w:val="39F19DCE"/>
    <w:rsid w:val="3AD052FA"/>
    <w:rsid w:val="3B474B28"/>
    <w:rsid w:val="3B61C7AD"/>
    <w:rsid w:val="3CB448DC"/>
    <w:rsid w:val="3D2C058D"/>
    <w:rsid w:val="3D54CB08"/>
    <w:rsid w:val="3E2E9DAC"/>
    <w:rsid w:val="3E3B439F"/>
    <w:rsid w:val="3EDBF311"/>
    <w:rsid w:val="3EEB672E"/>
    <w:rsid w:val="3EF5B4B7"/>
    <w:rsid w:val="3F26A916"/>
    <w:rsid w:val="4041ED4F"/>
    <w:rsid w:val="4049FB18"/>
    <w:rsid w:val="4180EECF"/>
    <w:rsid w:val="42D91B11"/>
    <w:rsid w:val="43027B55"/>
    <w:rsid w:val="47A2281A"/>
    <w:rsid w:val="47CC08E5"/>
    <w:rsid w:val="47E5A2E9"/>
    <w:rsid w:val="492D5583"/>
    <w:rsid w:val="4AAEB967"/>
    <w:rsid w:val="4AB70683"/>
    <w:rsid w:val="4AFBC668"/>
    <w:rsid w:val="4BB44B57"/>
    <w:rsid w:val="4BE1942C"/>
    <w:rsid w:val="4CA12ED8"/>
    <w:rsid w:val="4CC0B4C3"/>
    <w:rsid w:val="4D5350D0"/>
    <w:rsid w:val="4DDF69BD"/>
    <w:rsid w:val="4DF9332F"/>
    <w:rsid w:val="4E56308F"/>
    <w:rsid w:val="4EBFEBD9"/>
    <w:rsid w:val="4FF4F24F"/>
    <w:rsid w:val="500103B4"/>
    <w:rsid w:val="509A1987"/>
    <w:rsid w:val="50E8C740"/>
    <w:rsid w:val="5106A649"/>
    <w:rsid w:val="515423B2"/>
    <w:rsid w:val="52C42042"/>
    <w:rsid w:val="5356F6BB"/>
    <w:rsid w:val="540364DF"/>
    <w:rsid w:val="541448C0"/>
    <w:rsid w:val="54A93DBD"/>
    <w:rsid w:val="54B62276"/>
    <w:rsid w:val="54F952FD"/>
    <w:rsid w:val="55D3547A"/>
    <w:rsid w:val="55FD4AE5"/>
    <w:rsid w:val="571A4BDF"/>
    <w:rsid w:val="577B8FC3"/>
    <w:rsid w:val="59382EE9"/>
    <w:rsid w:val="5A027876"/>
    <w:rsid w:val="5A0B621B"/>
    <w:rsid w:val="5A338AFD"/>
    <w:rsid w:val="5AFA2CE0"/>
    <w:rsid w:val="5B1589E9"/>
    <w:rsid w:val="5B74EEA1"/>
    <w:rsid w:val="5D95E839"/>
    <w:rsid w:val="5DA5FFD1"/>
    <w:rsid w:val="5E047535"/>
    <w:rsid w:val="5E3F0ABC"/>
    <w:rsid w:val="5E53A52B"/>
    <w:rsid w:val="5E91D112"/>
    <w:rsid w:val="5EA1907F"/>
    <w:rsid w:val="5EB8DD34"/>
    <w:rsid w:val="5EFC90D2"/>
    <w:rsid w:val="6009F34E"/>
    <w:rsid w:val="60279907"/>
    <w:rsid w:val="60A67DC4"/>
    <w:rsid w:val="61FFBF4C"/>
    <w:rsid w:val="63422188"/>
    <w:rsid w:val="64378414"/>
    <w:rsid w:val="6580F950"/>
    <w:rsid w:val="659CDD7F"/>
    <w:rsid w:val="65A0FA1E"/>
    <w:rsid w:val="66124982"/>
    <w:rsid w:val="66BCB561"/>
    <w:rsid w:val="67CF619C"/>
    <w:rsid w:val="67E56F75"/>
    <w:rsid w:val="686BF5AF"/>
    <w:rsid w:val="68D89AE0"/>
    <w:rsid w:val="6940CEAD"/>
    <w:rsid w:val="69C52D01"/>
    <w:rsid w:val="69CA56E9"/>
    <w:rsid w:val="6A4E5096"/>
    <w:rsid w:val="6A546A73"/>
    <w:rsid w:val="6A746B41"/>
    <w:rsid w:val="6A9886A2"/>
    <w:rsid w:val="6AACD0D6"/>
    <w:rsid w:val="6AEFD33A"/>
    <w:rsid w:val="6B5392F7"/>
    <w:rsid w:val="6C103BA2"/>
    <w:rsid w:val="6C28B25E"/>
    <w:rsid w:val="6C58A1D0"/>
    <w:rsid w:val="6D45F8E6"/>
    <w:rsid w:val="6DA6BA11"/>
    <w:rsid w:val="6E3C0629"/>
    <w:rsid w:val="6E6A2602"/>
    <w:rsid w:val="6F2E810F"/>
    <w:rsid w:val="6F681A69"/>
    <w:rsid w:val="70C4E80C"/>
    <w:rsid w:val="70D09B67"/>
    <w:rsid w:val="7299A7E5"/>
    <w:rsid w:val="72B41EBD"/>
    <w:rsid w:val="741B72C3"/>
    <w:rsid w:val="744BDE94"/>
    <w:rsid w:val="74B2DCD2"/>
    <w:rsid w:val="75DA8D97"/>
    <w:rsid w:val="76A90CC2"/>
    <w:rsid w:val="77A46A29"/>
    <w:rsid w:val="77CF9845"/>
    <w:rsid w:val="78331683"/>
    <w:rsid w:val="78D6AB62"/>
    <w:rsid w:val="78E9F7E1"/>
    <w:rsid w:val="7AF70339"/>
    <w:rsid w:val="7B3B8356"/>
    <w:rsid w:val="7B6529A1"/>
    <w:rsid w:val="7BAD952E"/>
    <w:rsid w:val="7BF93524"/>
    <w:rsid w:val="7D57B0F3"/>
    <w:rsid w:val="7D61810A"/>
    <w:rsid w:val="7D9D5663"/>
    <w:rsid w:val="7FA188C2"/>
    <w:rsid w:val="7FE51D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4176"/>
  <w15:chartTrackingRefBased/>
  <w15:docId w15:val="{7823D6DA-2066-4C88-8EBA-1BE4306A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gasheet.com/sample-data/spreadsheet-list-of-all-counties-in-iowacsv" TargetMode="Externa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www.nytimes.com/interactive/2021/us/iowa-covid-cases.html" TargetMode="External"/><Relationship Id="rId11" Type="http://schemas.openxmlformats.org/officeDocument/2006/relationships/image" Target="media/image4.png"/><Relationship Id="rId5" Type="http://schemas.openxmlformats.org/officeDocument/2006/relationships/hyperlink" Target="https://www.google.com/covid19/mobility/"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2242</Words>
  <Characters>12786</Characters>
  <Application>Microsoft Office Word</Application>
  <DocSecurity>0</DocSecurity>
  <Lines>106</Lines>
  <Paragraphs>29</Paragraphs>
  <ScaleCrop>false</ScaleCrop>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Reed C</dc:creator>
  <cp:keywords/>
  <dc:description/>
  <cp:lastModifiedBy>Foster, Reed C</cp:lastModifiedBy>
  <cp:revision>85</cp:revision>
  <dcterms:created xsi:type="dcterms:W3CDTF">2023-12-07T20:12:00Z</dcterms:created>
  <dcterms:modified xsi:type="dcterms:W3CDTF">2023-12-08T19:36:00Z</dcterms:modified>
</cp:coreProperties>
</file>