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b/>
          <w:sz w:val="28"/>
        </w:rPr>
        <w:t xml:space="preserve">Quick-Review Sheet: The Numbers That Trip You Up</w:t>
      </w:r>
    </w:p>
    <w:p>
      <w:pPr>
        <w:spacing w:before="0" w:after="30"/>
      </w:pPr>
      <w:r>
        <w:rPr>
          <w:b/>
          <w:color w:val="1F4E79"/>
          <w:sz w:val="20"/>
        </w:rPr>
        <w:t xml:space="preserve">TINEA</w:t>
      </w:r>
    </w:p>
    <w:p>
      <w:pPr>
        <w:spacing w:before="0" w:after="60"/>
      </w:pPr>
      <w:r>
        <w:rPr>
          <w:b/>
          <w:sz w:val="18"/>
        </w:rPr>
        <w:t xml:space="preserve">Corporis:</w:t>
      </w:r>
      <w:r>
        <w:rPr>
          <w:sz w:val="18"/>
        </w:rPr>
        <w:t xml:space="preserve"> topical azole BID, include margin of normal skin, 1–4 wk • NO antifungal+steroid combos • Griseofulvin = systemic drug of choice &gt;2 yr, 2–4 wk (non-scalp), take with FATTY food • Extended griseofulvin: CBC + LFT + renal at 8 wk, then every 8 wk • Back to school 24 h after treatment starts • F/u 2 wk; no response → culture + switch class • KOH from lesion BORDER • Tinea incognito = steroid/calcineurin cream → improves then rebounds</w:t>
      </w:r>
    </w:p>
    <w:p>
      <w:pPr>
        <w:spacing w:before="0" w:after="60"/>
      </w:pPr>
      <w:r>
        <w:rPr>
          <w:b/>
          <w:sz w:val="18"/>
        </w:rPr>
        <w:t xml:space="preserve">Cruris:</w:t>
      </w:r>
      <w:r>
        <w:rPr>
          <w:sz w:val="18"/>
        </w:rPr>
        <w:t xml:space="preserve"> topical 4–6 wk • spares penis, scrotum, labia majora (Candida does NOT spare scrotum + has satellites) • socks BEFORE underwear</w:t>
      </w:r>
    </w:p>
    <w:p>
      <w:pPr>
        <w:spacing w:before="0" w:after="60"/>
      </w:pPr>
      <w:r>
        <w:rPr>
          <w:b/>
          <w:sz w:val="18"/>
        </w:rPr>
        <w:t xml:space="preserve">Pedis:</w:t>
      </w:r>
      <w:r>
        <w:rPr>
          <w:sz w:val="18"/>
        </w:rPr>
        <w:t xml:space="preserve"> apply 1 cm beyond border BID until 7 days AFTER clearing; usual 3–6 wk • griseofulvin (rare) 6–8 wk • 3rd–5th toe webs; dorsum clear • F/u 2–3 wk • sports OK • foul odor = secondary bacterial</w:t>
      </w:r>
    </w:p>
    <w:p>
      <w:pPr>
        <w:spacing w:before="0" w:after="60"/>
      </w:pPr>
      <w:r>
        <w:rPr>
          <w:b/>
          <w:sz w:val="18"/>
        </w:rPr>
        <w:t xml:space="preserve">Versicolor (Malassezia):</w:t>
      </w:r>
      <w:r>
        <w:rPr>
          <w:sz w:val="18"/>
        </w:rPr>
        <w:t xml:space="preserve"> selenium sulfide 2.5% thin layer 30 min, 2×/wk × 2–4 wk → monthly × 3 mo • topical azole BID 2–4 wk • oral: fluconazole 400 mg ONCE or itraconazole 400 mg ONCE → exercise/sweat after • F/u 1 mo • no flaking on scrape = working • repigmentation takes MONTHS</w:t>
      </w:r>
    </w:p>
    <w:p>
      <w:pPr>
        <w:spacing w:before="0" w:after="30"/>
      </w:pPr>
      <w:r>
        <w:rPr>
          <w:b/>
          <w:color w:val="1F4E79"/>
          <w:sz w:val="20"/>
        </w:rPr>
        <w:t xml:space="preserve">SEBORRHEA &amp; DIAPER</w:t>
      </w:r>
    </w:p>
    <w:p>
      <w:pPr>
        <w:spacing w:before="0" w:after="60"/>
      </w:pPr>
      <w:r>
        <w:rPr>
          <w:b/>
          <w:sz w:val="18"/>
        </w:rPr>
        <w:t xml:space="preserve">Seb derm:</w:t>
      </w:r>
      <w:r>
        <w:rPr>
          <w:sz w:val="18"/>
        </w:rPr>
        <w:t xml:space="preserve"> NOT pruritic, no pustules • infant: mineral oil 5–10 min → mild shampoo, soft brush; NO medicated shampoo &lt;2 yr • teen face: ketoconazole 2% daily, desonide 0.05% intermittent • scalp shampoo 2–3×/wk (1–4×/mo African American), leave on 5–10 min • F/u 1–2 wk • severe generalized → think HIV</w:t>
      </w:r>
    </w:p>
    <w:p>
      <w:pPr>
        <w:spacing w:before="0" w:after="60"/>
      </w:pPr>
      <w:r>
        <w:rPr>
          <w:b/>
          <w:sz w:val="18"/>
        </w:rPr>
        <w:t xml:space="preserve">Diaper:</w:t>
      </w:r>
      <w:r>
        <w:rPr>
          <w:sz w:val="18"/>
        </w:rPr>
        <w:t xml:space="preserve"> change q1–2 h, ≥8/24 h • HC 0.5–1% thin layer TID ≤5 DAYS, never fluorinated • sitz 10–15 min QID • irritant = convex, creases SPARED (peak 9–12 mo) • Candida = folds + satellites • Seborrhea = IN creases, greasy, onset 3–4 wk • phone f/u 1–2 days, reassess within 1 wk</w:t>
      </w:r>
    </w:p>
    <w:p>
      <w:pPr>
        <w:spacing w:before="0" w:after="30"/>
      </w:pPr>
      <w:r>
        <w:rPr>
          <w:b/>
          <w:color w:val="1F4E79"/>
          <w:sz w:val="20"/>
        </w:rPr>
        <w:t xml:space="preserve">HERPES</w:t>
      </w:r>
    </w:p>
    <w:p>
      <w:pPr>
        <w:spacing w:before="0" w:after="60"/>
      </w:pPr>
      <w:r>
        <w:rPr>
          <w:b/>
          <w:sz w:val="18"/>
        </w:rPr>
        <w:t xml:space="preserve">HSV:</w:t>
      </w:r>
      <w:r>
        <w:rPr>
          <w:sz w:val="18"/>
        </w:rPr>
        <w:t xml:space="preserve"> incubation 2–12 d • Tzanck = giant cells, CAN'T type • viral culture = gold standard • acyclovir 20–40 mg/kg/dose 5×/day × 5 d (&gt;2 yr), best within 3 DAYS • whitlow: 200 mg 5×/day × 5–10 d • frequent recurrences: prophylaxis × 6 mo • diphenhydramine rinse max 5 mg/kg/d • daycare exclusion ONLY gingivostomatitis + can't control secretions • REFER: newborn, immunosuppressed, infected eczema, eye/lid</w:t>
      </w:r>
    </w:p>
    <w:p>
      <w:pPr>
        <w:spacing w:before="0" w:after="60"/>
      </w:pPr>
      <w:r>
        <w:rPr>
          <w:b/>
          <w:sz w:val="18"/>
        </w:rPr>
        <w:t xml:space="preserve">Zoster:</w:t>
      </w:r>
      <w:r>
        <w:rPr>
          <w:sz w:val="18"/>
        </w:rPr>
        <w:t xml:space="preserve"> does NOT cross midline • acyclovir 30 mg/kg/d ÷ QID × 5 d only if immunosuppressed, ocular, Ramsay Hunt • NO salicylates • eye/forehead/NOSE → immediate ophtho • new vesicles up to 1 wk, resolve 2–3 wk • covered lesions = can attend school • &gt;1 dermatome → think HIV</w:t>
      </w:r>
    </w:p>
    <w:p>
      <w:pPr>
        <w:spacing w:before="0" w:after="30"/>
      </w:pPr>
      <w:r>
        <w:rPr>
          <w:b/>
          <w:color w:val="1F4E79"/>
          <w:sz w:val="20"/>
        </w:rPr>
        <w:t xml:space="preserve">MOLLUSCUM &amp; WARTS</w:t>
      </w:r>
    </w:p>
    <w:p>
      <w:pPr>
        <w:spacing w:before="0" w:after="60"/>
      </w:pPr>
      <w:r>
        <w:rPr>
          <w:b/>
          <w:sz w:val="18"/>
        </w:rPr>
        <w:t xml:space="preserve">Molluscum:</w:t>
      </w:r>
      <w:r>
        <w:rPr>
          <w:sz w:val="18"/>
        </w:rPr>
        <w:t xml:space="preserve"> 1–6 mm umbilicated, spares palms/soles/scalp • resolves 6 mo–2 yr (up to 4) • NO school exclusion • molluscum dermatitis → moisturizer, AVOID hydrocortisone • genital → abuse eval • hundreds → HIV</w:t>
      </w:r>
    </w:p>
    <w:p>
      <w:pPr>
        <w:spacing w:before="0" w:after="60"/>
      </w:pPr>
      <w:r>
        <w:rPr>
          <w:b/>
          <w:sz w:val="18"/>
        </w:rPr>
        <w:t xml:space="preserve">Warts:</w:t>
      </w:r>
      <w:r>
        <w:rPr>
          <w:sz w:val="18"/>
        </w:rPr>
        <w:t xml:space="preserve"> salicylic &gt;20% × 4–6 wk (not &gt;5 mm) • 40% plaster 3–5 d = plantar • retinoic acid 0.025–0.05% = FLAT warts only • duct tape 12 h/day × 6 days • cryo 2–10 s, 1–3 mm beyond • cantharidin 0.7% × 24 h = periungual/plantar ONLY • podophyllum wash off at 4 h • cimetidine 20–30 mg/kg/d BID × 3–4 mo • imiquimod &gt;12 yr daily × 1–2 mo • filiform → scissors • F/u 2–3 wk</w:t>
      </w:r>
    </w:p>
    <w:p>
      <w:pPr>
        <w:spacing w:before="0" w:after="30"/>
      </w:pPr>
      <w:r>
        <w:rPr>
          <w:b/>
          <w:color w:val="1F4E79"/>
          <w:sz w:val="20"/>
        </w:rPr>
        <w:t xml:space="preserve">CONTACT DERMATITIS</w:t>
      </w:r>
    </w:p>
    <w:p>
      <w:pPr>
        <w:spacing w:before="0" w:after="60"/>
      </w:pPr>
      <w:r>
        <w:rPr>
          <w:sz w:val="18"/>
        </w:rPr>
        <w:t xml:space="preserve">Irritant = immediate; allergic = type IV DELAYED • compresses 20 min q4–6 h • topical steroid 2–3×/day: relief 2–3 d, healing 2–3 wk • ORAL steroid if &gt;10% BSA: 10–14 d, taper last 7 • no lanolin emollient if inflamed • worsens/recurs → patch testing</w:t>
      </w:r>
    </w:p>
    <w:p>
      <w:pPr>
        <w:spacing w:before="0" w:after="30"/>
      </w:pPr>
      <w:r>
        <w:rPr>
          <w:b/>
          <w:color w:val="1F4E79"/>
          <w:sz w:val="20"/>
        </w:rPr>
        <w:t xml:space="preserve">EXANTHEMS</w:t>
      </w:r>
    </w:p>
    <w:p>
      <w:pPr>
        <w:spacing w:before="0" w:after="60"/>
      </w:pPr>
      <w:r>
        <w:rPr>
          <w:b/>
          <w:sz w:val="18"/>
        </w:rPr>
        <w:t xml:space="preserve">Roseola (HHV-6):</w:t>
      </w:r>
      <w:r>
        <w:rPr>
          <w:sz w:val="18"/>
        </w:rPr>
        <w:t xml:space="preserve"> 7–24 mo • high fever 3–7 d, child looks well → rash as fever BREAKS, trunk outward • febrile seizure 10–15% • most contagious during fever</w:t>
      </w:r>
    </w:p>
    <w:p>
      <w:pPr>
        <w:spacing w:before="0" w:after="60"/>
      </w:pPr>
      <w:r>
        <w:rPr>
          <w:b/>
          <w:sz w:val="18"/>
        </w:rPr>
        <w:t xml:space="preserve">Measles:</w:t>
      </w:r>
      <w:r>
        <w:rPr>
          <w:sz w:val="18"/>
        </w:rPr>
        <w:t xml:space="preserve"> incubation 8–12 d • 3 C's + Koplik (opposite lower molars) • rash day 3–4, hairline → down • contagious ~4 d before to 4 d after rash • AIRBORNE • report on suspicion (≤24 h) • Vitamin A × 2 days: &lt;6 mo 50,000 IU • 6–11 mo 100,000 • ≥12 mo 200,000 • MMR within 72 H • immune globulin within 6 DAYS • pneumonia = top killer • SSPE late, fatal</w:t>
      </w:r>
    </w:p>
    <w:p>
      <w:pPr>
        <w:spacing w:before="0" w:after="60"/>
      </w:pPr>
      <w:r>
        <w:rPr>
          <w:b/>
          <w:sz w:val="18"/>
        </w:rPr>
        <w:t xml:space="preserve">Mumps:</w:t>
      </w:r>
      <w:r>
        <w:rPr>
          <w:sz w:val="18"/>
        </w:rPr>
        <w:t xml:space="preserve"> incubation 16–18 d (12–25) • contagious 1–2 d before to 5 d after swelling • exclusion: your text says 9 days; current CDC/AAP says 5 days • ear pushed up and out, "pickle sign" • ↑ amylase • orchitis ~10% postpubertal males, sterility rare</w:t>
      </w:r>
    </w:p>
    <w:p>
      <w:pPr>
        <w:spacing w:before="0" w:after="60"/>
      </w:pPr>
      <w:r>
        <w:rPr>
          <w:b/>
          <w:sz w:val="18"/>
        </w:rPr>
        <w:t xml:space="preserve">Rubella:</w:t>
      </w:r>
      <w:r>
        <w:rPr>
          <w:sz w:val="18"/>
        </w:rPr>
        <w:t xml:space="preserve"> incubation 14–21 d (mean 18) • shedding 5 d before to 6 d after rash • postauricular / posterior cervical / occipital nodes • Forchheimer spots NOT pathognomonic • IgM may be negative before day 5 of rash → repeat • 1st 12 wk: 61% defects; 2nd trimester: 26% • home ~7 days after rash • arthritis in postpubertal females</w:t>
      </w:r>
    </w:p>
    <w:p>
      <w:pPr>
        <w:spacing w:before="0" w:after="60"/>
      </w:pPr>
      <w:r>
        <w:rPr>
          <w:b/>
          <w:sz w:val="18"/>
        </w:rPr>
        <w:t xml:space="preserve">Fifth (parvovirus B19):</w:t>
      </w:r>
      <w:r>
        <w:rPr>
          <w:sz w:val="18"/>
        </w:rPr>
        <w:t xml:space="preserve"> slapped cheek → lacy rash on body • NOT contagious once rash appears (no exclusion) • aplastic crisis in sickle cell/hemolytic anemia • hydrops fetalis risk in pregnancy • adults: symmetric hand/wrist/knee arthritis • supportive care</w:t>
      </w:r>
    </w:p>
    <w:sectPr>
      <w:pgSz w:w="12240" w:h="15840"/>
      <w:pgMar w:top="540" w:right="600" w:bottom="540" w:left="600" w:header="0" w:footer="0" w:gutter="0"/>
    </w:sectPr>
  </w:body>
</w:document>
</file>