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0"/>
          <w:szCs w:val="30"/>
        </w:rPr>
        <w:t xml:space="preserve">Preventra Readmission Risk: Pilot Data and Server Requirements</w:t>
      </w:r>
    </w:p>
    <w:p>
      <w:pPr>
        <w:spacing w:after="100"/>
      </w:pPr>
      <w:r>
        <w:rPr>
          <w:rFonts w:ascii="Calibri" w:cs="Calibri" w:eastAsia="Calibri" w:hAnsi="Calibri"/>
          <w:i/>
          <w:iCs/>
          <w:color w:val="595959"/>
          <w:sz w:val="17"/>
          <w:szCs w:val="17"/>
        </w:rPr>
        <w:t xml:space="preserve">What we need from the clinic to train, test and run Preventra on site · October 2026</w:t>
      </w:r>
    </w:p>
    <w:p>
      <w:pPr>
        <w:spacing w:after="60" w:line="252"/>
      </w:pPr>
      <w:r>
        <w:rPr>
          <w:rFonts w:ascii="Calibri" w:cs="Calibri" w:eastAsia="Calibri" w:hAnsi="Calibri"/>
          <w:sz w:val="18"/>
          <w:szCs w:val="18"/>
        </w:rPr>
        <w:t xml:space="preserve">Preventra predicts which discharged patients are most likely to be readmitted within 30 days and supports weekly follow-up after discharge. A model built at one hospital does not transfer reliably to another, so the pilot model is trained on the clinic's own records and tested on its most recent year before anyone relies on it.</w:t>
      </w:r>
    </w:p>
    <w:p>
      <w:pPr>
        <w:spacing w:after="60" w:line="252"/>
      </w:pPr>
      <w:r>
        <w:rPr>
          <w:rFonts w:ascii="Calibri" w:cs="Calibri" w:eastAsia="Calibri" w:hAnsi="Calibri"/>
          <w:b/>
          <w:bCs/>
          <w:sz w:val="18"/>
          <w:szCs w:val="18"/>
        </w:rPr>
        <w:t xml:space="preserve">On site:</w:t>
      </w:r>
      <w:r>
        <w:rPr>
          <w:rFonts w:ascii="Calibri" w:cs="Calibri" w:eastAsia="Calibri" w:hAnsi="Calibri"/>
          <w:sz w:val="18"/>
          <w:szCs w:val="18"/>
        </w:rPr>
        <w:t xml:space="preserve"> the software, models and patient data stay on clinic servers. </w:t>
      </w:r>
      <w:r>
        <w:rPr>
          <w:rFonts w:ascii="Calibri" w:cs="Calibri" w:eastAsia="Calibri" w:hAnsi="Calibri"/>
          <w:b/>
          <w:bCs/>
          <w:sz w:val="18"/>
          <w:szCs w:val="18"/>
        </w:rPr>
        <w:t xml:space="preserve">De-identified:</w:t>
      </w:r>
      <w:r>
        <w:rPr>
          <w:rFonts w:ascii="Calibri" w:cs="Calibri" w:eastAsia="Calibri" w:hAnsi="Calibri"/>
          <w:sz w:val="18"/>
          <w:szCs w:val="18"/>
        </w:rPr>
        <w:t xml:space="preserve"> training data uses a study ID; only the clinic holds the link to real identities. </w:t>
      </w:r>
      <w:r>
        <w:rPr>
          <w:rFonts w:ascii="Calibri" w:cs="Calibri" w:eastAsia="Calibri" w:hAnsi="Calibri"/>
          <w:b/>
          <w:bCs/>
          <w:sz w:val="18"/>
          <w:szCs w:val="18"/>
        </w:rPr>
        <w:t xml:space="preserve">Time-stamped:</w:t>
      </w:r>
      <w:r>
        <w:rPr>
          <w:rFonts w:ascii="Calibri" w:cs="Calibri" w:eastAsia="Calibri" w:hAnsi="Calibri"/>
          <w:sz w:val="18"/>
          <w:szCs w:val="18"/>
        </w:rPr>
        <w:t xml:space="preserve"> every field comes with the time it was recorded, so the model uses only what was known at discharge. </w:t>
      </w:r>
      <w:r>
        <w:rPr>
          <w:rFonts w:ascii="Calibri" w:cs="Calibri" w:eastAsia="Calibri" w:hAnsi="Calibri"/>
          <w:b/>
          <w:bCs/>
          <w:sz w:val="18"/>
          <w:szCs w:val="18"/>
        </w:rPr>
        <w:t xml:space="preserve">Minimum necessary:</w:t>
      </w:r>
      <w:r>
        <w:rPr>
          <w:rFonts w:ascii="Calibri" w:cs="Calibri" w:eastAsia="Calibri" w:hAnsi="Calibri"/>
          <w:sz w:val="18"/>
          <w:szCs w:val="18"/>
        </w:rPr>
        <w:t xml:space="preserve"> mark anything you cannot provide and we will plan around it.</w:t>
      </w:r>
    </w:p>
    <w:p>
      <w:pPr>
        <w:pStyle w:val="Heading2"/>
        <w:pBdr>
          <w:bottom w:val="single" w:color="B4C6E7" w:sz="4" w:space="1"/>
        </w:pBdr>
        <w:spacing w:after="50" w:before="140"/>
      </w:pPr>
      <w:r>
        <w:rPr>
          <w:rFonts w:ascii="Calibri" w:cs="Calibri" w:eastAsia="Calibri" w:hAnsi="Calibri"/>
          <w:b/>
          <w:bCs/>
          <w:color w:val="1F3864"/>
          <w:sz w:val="22"/>
          <w:szCs w:val="22"/>
        </w:rPr>
        <w:t xml:space="preserve">1. Client data inventory</w:t>
      </w:r>
    </w:p>
    <w:p>
      <w:pPr>
        <w:pStyle w:val="ListParagraph"/>
        <w:numPr>
          <w:ilvl w:val="0"/>
          <w:numId w:val="2"/>
        </w:numPr>
        <w:spacing w:after="20" w:line="252"/>
      </w:pPr>
      <w:r>
        <w:rPr>
          <w:rFonts w:ascii="Calibri" w:cs="Calibri" w:eastAsia="Calibri" w:hAnsi="Calibri"/>
          <w:b/>
          <w:bCs/>
          <w:sz w:val="18"/>
          <w:szCs w:val="18"/>
        </w:rPr>
        <w:t xml:space="preserve">Source-system inventory:</w:t>
      </w:r>
      <w:r>
        <w:rPr>
          <w:rFonts w:ascii="Calibri" w:cs="Calibri" w:eastAsia="Calibri" w:hAnsi="Calibri"/>
          <w:sz w:val="18"/>
          <w:szCs w:val="18"/>
        </w:rPr>
        <w:t xml:space="preserve"> name, vendor, version and owner of the HIS/EHR, admission-discharge-transfer (ADT), laboratory (LIS), pharmacy, billing and coding, outpatient scheduling and emergency systems.</w:t>
      </w:r>
    </w:p>
    <w:p>
      <w:pPr>
        <w:pStyle w:val="ListParagraph"/>
        <w:numPr>
          <w:ilvl w:val="0"/>
          <w:numId w:val="2"/>
        </w:numPr>
        <w:spacing w:after="20" w:line="252"/>
      </w:pPr>
      <w:r>
        <w:rPr>
          <w:rFonts w:ascii="Calibri" w:cs="Calibri" w:eastAsia="Calibri" w:hAnsi="Calibri"/>
          <w:b/>
          <w:bCs/>
          <w:sz w:val="18"/>
          <w:szCs w:val="18"/>
        </w:rPr>
        <w:t xml:space="preserve">Data dictionaries and database schemas:</w:t>
      </w:r>
      <w:r>
        <w:rPr>
          <w:rFonts w:ascii="Calibri" w:cs="Calibri" w:eastAsia="Calibri" w:hAnsi="Calibri"/>
          <w:sz w:val="18"/>
          <w:szCs w:val="18"/>
        </w:rPr>
        <w:t xml:space="preserve"> tables, how they link (keys), field meanings, allowed values and units.</w:t>
      </w:r>
    </w:p>
    <w:p>
      <w:pPr>
        <w:pStyle w:val="ListParagraph"/>
        <w:numPr>
          <w:ilvl w:val="0"/>
          <w:numId w:val="2"/>
        </w:numPr>
        <w:spacing w:after="20" w:line="252"/>
      </w:pPr>
      <w:r>
        <w:rPr>
          <w:rFonts w:ascii="Calibri" w:cs="Calibri" w:eastAsia="Calibri" w:hAnsi="Calibri"/>
          <w:b/>
          <w:bCs/>
          <w:sz w:val="18"/>
          <w:szCs w:val="18"/>
        </w:rPr>
        <w:t xml:space="preserve">Coding standards:</w:t>
      </w:r>
      <w:r>
        <w:rPr>
          <w:rFonts w:ascii="Calibri" w:cs="Calibri" w:eastAsia="Calibri" w:hAnsi="Calibri"/>
          <w:sz w:val="18"/>
          <w:szCs w:val="18"/>
        </w:rPr>
        <w:t xml:space="preserve"> ICD-10 edition, procedure codes, lab test codes (local or LOINC), drug coding (formulary or generic names).</w:t>
      </w:r>
    </w:p>
    <w:p>
      <w:pPr>
        <w:pStyle w:val="ListParagraph"/>
        <w:numPr>
          <w:ilvl w:val="0"/>
          <w:numId w:val="2"/>
        </w:numPr>
        <w:spacing w:after="20" w:line="252"/>
      </w:pPr>
      <w:r>
        <w:rPr>
          <w:rFonts w:ascii="Calibri" w:cs="Calibri" w:eastAsia="Calibri" w:hAnsi="Calibri"/>
          <w:b/>
          <w:bCs/>
          <w:sz w:val="18"/>
          <w:szCs w:val="18"/>
        </w:rPr>
        <w:t xml:space="preserve">Sample records:</w:t>
      </w:r>
      <w:r>
        <w:rPr>
          <w:rFonts w:ascii="Calibri" w:cs="Calibri" w:eastAsia="Calibri" w:hAnsi="Calibri"/>
          <w:sz w:val="18"/>
          <w:szCs w:val="18"/>
        </w:rPr>
        <w:t xml:space="preserve"> 50 to 100 complete de-identified patient journeys across all systems, joined by study ID.</w:t>
      </w:r>
    </w:p>
    <w:p>
      <w:pPr>
        <w:pStyle w:val="ListParagraph"/>
        <w:numPr>
          <w:ilvl w:val="0"/>
          <w:numId w:val="2"/>
        </w:numPr>
        <w:spacing w:after="20" w:line="252"/>
      </w:pPr>
      <w:r>
        <w:rPr>
          <w:rFonts w:ascii="Calibri" w:cs="Calibri" w:eastAsia="Calibri" w:hAnsi="Calibri"/>
          <w:b/>
          <w:bCs/>
          <w:sz w:val="18"/>
          <w:szCs w:val="18"/>
        </w:rPr>
        <w:t xml:space="preserve">Extraction and refresh:</w:t>
      </w:r>
      <w:r>
        <w:rPr>
          <w:rFonts w:ascii="Calibri" w:cs="Calibri" w:eastAsia="Calibri" w:hAnsi="Calibri"/>
          <w:sz w:val="18"/>
          <w:szCs w:val="18"/>
        </w:rPr>
        <w:t xml:space="preserve"> read-only replica or views, scheduled CSV export, HL7 v2 or FHIR; new discharges ideally within 24 hours.</w:t>
      </w:r>
    </w:p>
    <w:p>
      <w:pPr>
        <w:pStyle w:val="ListParagraph"/>
        <w:numPr>
          <w:ilvl w:val="0"/>
          <w:numId w:val="2"/>
        </w:numPr>
        <w:spacing w:after="20" w:line="252"/>
      </w:pPr>
      <w:r>
        <w:rPr>
          <w:rFonts w:ascii="Calibri" w:cs="Calibri" w:eastAsia="Calibri" w:hAnsi="Calibri"/>
          <w:b/>
          <w:bCs/>
          <w:sz w:val="18"/>
          <w:szCs w:val="18"/>
        </w:rPr>
        <w:t xml:space="preserve">Volumes and known gaps:</w:t>
      </w:r>
      <w:r>
        <w:rPr>
          <w:rFonts w:ascii="Calibri" w:cs="Calibri" w:eastAsia="Calibri" w:hAnsi="Calibri"/>
          <w:sz w:val="18"/>
          <w:szCs w:val="18"/>
        </w:rPr>
        <w:t xml:space="preserve"> beds, admissions per year, departments; paper-only periods, system migrations, inconsistently filled fields.</w:t>
      </w:r>
    </w:p>
    <w:p>
      <w:pPr>
        <w:pStyle w:val="Heading2"/>
        <w:pBdr>
          <w:bottom w:val="single" w:color="B4C6E7" w:sz="4" w:space="1"/>
        </w:pBdr>
        <w:spacing w:after="50" w:before="140"/>
      </w:pPr>
      <w:r>
        <w:rPr>
          <w:rFonts w:ascii="Calibri" w:cs="Calibri" w:eastAsia="Calibri" w:hAnsi="Calibri"/>
          <w:b/>
          <w:bCs/>
          <w:color w:val="1F3864"/>
          <w:sz w:val="22"/>
          <w:szCs w:val="22"/>
        </w:rPr>
        <w:t xml:space="preserve">2. Historical data availability</w:t>
      </w:r>
    </w:p>
    <w:p>
      <w:pPr>
        <w:spacing w:after="60" w:line="252"/>
      </w:pPr>
      <w:r>
        <w:rPr>
          <w:rFonts w:ascii="Calibri" w:cs="Calibri" w:eastAsia="Calibri" w:hAnsi="Calibri"/>
          <w:sz w:val="18"/>
          <w:szCs w:val="18"/>
        </w:rPr>
        <w:t xml:space="preserve">At least </w:t>
      </w:r>
      <w:r>
        <w:rPr>
          <w:rFonts w:ascii="Calibri" w:cs="Calibri" w:eastAsia="Calibri" w:hAnsi="Calibri"/>
          <w:b/>
          <w:bCs/>
          <w:sz w:val="18"/>
          <w:szCs w:val="18"/>
        </w:rPr>
        <w:t xml:space="preserve">3 years</w:t>
      </w:r>
      <w:r>
        <w:rPr>
          <w:rFonts w:ascii="Calibri" w:cs="Calibri" w:eastAsia="Calibri" w:hAnsi="Calibri"/>
          <w:sz w:val="18"/>
          <w:szCs w:val="18"/>
        </w:rPr>
        <w:t xml:space="preserve"> of inpatient admissions (5 preferred), with one study ID linking each patient's records across years and systems. The test on the most recent period needs </w:t>
      </w:r>
      <w:r>
        <w:rPr>
          <w:rFonts w:ascii="Calibri" w:cs="Calibri" w:eastAsia="Calibri" w:hAnsi="Calibri"/>
          <w:b/>
          <w:bCs/>
          <w:sz w:val="18"/>
          <w:szCs w:val="18"/>
        </w:rPr>
        <w:t xml:space="preserve">at least 100 readmissions</w:t>
      </w:r>
      <w:r>
        <w:rPr>
          <w:rFonts w:ascii="Calibri" w:cs="Calibri" w:eastAsia="Calibri" w:hAnsi="Calibri"/>
          <w:sz w:val="18"/>
          <w:szCs w:val="18"/>
        </w:rPr>
        <w:t xml:space="preserve">, which means about 3,500 to 5,000 discharges overall at a 10 to 15% readmission rate. Smaller volumes can still be piloted, with wider margins of error.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906"/>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30"/>
              <w:left w:type="dxa" w:w="80"/>
              <w:bottom w:type="dxa" w:w="30"/>
              <w:right w:type="dxa" w:w="80"/>
            </w:tcMar>
          </w:tcPr>
          <w:p>
            <w:pPr>
              <w:spacing w:after="0" w:line="240"/>
            </w:pPr>
            <w:r>
              <w:rPr>
                <w:rFonts w:ascii="Calibri" w:cs="Calibri" w:eastAsia="Calibri" w:hAnsi="Calibri"/>
                <w:b/>
                <w:bCs/>
                <w:color w:val="1F3864"/>
                <w:sz w:val="18"/>
                <w:szCs w:val="18"/>
              </w:rPr>
              <w:t xml:space="preserve">Area</w:t>
            </w:r>
          </w:p>
        </w:tc>
        <w:tc>
          <w:tcPr>
            <w:tcW w:type="dxa" w:w="4400"/>
            <w:tcBorders>
              <w:top w:val="single" w:color="BFBFBF" w:sz="4"/>
              <w:left w:val="single" w:color="BFBFBF" w:sz="4"/>
              <w:bottom w:val="single" w:color="BFBFBF" w:sz="4"/>
              <w:right w:val="single" w:color="BFBFBF" w:sz="4"/>
            </w:tcBorders>
            <w:shd w:fill="DCE6F2" w:color="auto" w:val="clear"/>
            <w:tcMar>
              <w:top w:type="dxa" w:w="30"/>
              <w:left w:type="dxa" w:w="80"/>
              <w:bottom w:type="dxa" w:w="30"/>
              <w:right w:type="dxa" w:w="80"/>
            </w:tcMar>
          </w:tcPr>
          <w:p>
            <w:pPr>
              <w:spacing w:after="0" w:line="240"/>
            </w:pPr>
            <w:r>
              <w:rPr>
                <w:rFonts w:ascii="Calibri" w:cs="Calibri" w:eastAsia="Calibri" w:hAnsi="Calibri"/>
                <w:b/>
                <w:bCs/>
                <w:color w:val="1F3864"/>
                <w:sz w:val="18"/>
                <w:szCs w:val="18"/>
              </w:rPr>
              <w:t xml:space="preserve">Required</w:t>
            </w:r>
          </w:p>
        </w:tc>
        <w:tc>
          <w:tcPr>
            <w:tcW w:type="dxa" w:w="3906"/>
            <w:tcBorders>
              <w:top w:val="single" w:color="BFBFBF" w:sz="4"/>
              <w:left w:val="single" w:color="BFBFBF" w:sz="4"/>
              <w:bottom w:val="single" w:color="BFBFBF" w:sz="4"/>
              <w:right w:val="single" w:color="BFBFBF" w:sz="4"/>
            </w:tcBorders>
            <w:shd w:fill="DCE6F2" w:color="auto" w:val="clear"/>
            <w:tcMar>
              <w:top w:type="dxa" w:w="30"/>
              <w:left w:type="dxa" w:w="80"/>
              <w:bottom w:type="dxa" w:w="30"/>
              <w:right w:type="dxa" w:w="80"/>
            </w:tcMar>
          </w:tcPr>
          <w:p>
            <w:pPr>
              <w:spacing w:after="0" w:line="240"/>
            </w:pPr>
            <w:r>
              <w:rPr>
                <w:rFonts w:ascii="Calibri" w:cs="Calibri" w:eastAsia="Calibri" w:hAnsi="Calibri"/>
                <w:b/>
                <w:bCs/>
                <w:color w:val="1F3864"/>
                <w:sz w:val="18"/>
                <w:szCs w:val="18"/>
              </w:rPr>
              <w:t xml:space="preserve">If available</w:t>
            </w:r>
          </w:p>
        </w:tc>
      </w:tr>
      <w:tr>
        <w:tc>
          <w:tcPr>
            <w:tcW w:type="dxa" w:w="19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Patient</w:t>
            </w:r>
          </w:p>
        </w:tc>
        <w:tc>
          <w:tcPr>
            <w:tcW w:type="dxa" w:w="4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Study ID; age at admission; sex</w:t>
            </w:r>
          </w:p>
        </w:tc>
        <w:tc>
          <w:tcPr>
            <w:tcW w:type="dxa" w:w="39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Payer type; district or town; lives alone or has a caregiver; preferred language</w:t>
            </w:r>
          </w:p>
        </w:tc>
      </w:tr>
      <w:tr>
        <w:tc>
          <w:tcPr>
            <w:tcW w:type="dxa" w:w="19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Admission</w:t>
            </w:r>
          </w:p>
        </w:tc>
        <w:tc>
          <w:tcPr>
            <w:tcW w:type="dxa" w:w="4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Admission and discharge date-time; type (emergency, elective, transfer) and source; department, ward, ICU days; discharge destination (home, transfer, left against advice, died)</w:t>
            </w:r>
          </w:p>
        </w:tc>
        <w:tc>
          <w:tcPr>
            <w:tcW w:type="dxa" w:w="39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Treating doctor (pseudonymised staff ID)</w:t>
            </w:r>
          </w:p>
        </w:tc>
      </w:tr>
      <w:tr>
        <w:tc>
          <w:tcPr>
            <w:tcW w:type="dxa" w:w="19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Diagnoses and procedures</w:t>
            </w:r>
          </w:p>
        </w:tc>
        <w:tc>
          <w:tcPr>
            <w:tcW w:type="dxa" w:w="4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Principal and secondary diagnoses (ICD-10 code and text) with the date each was recorded</w:t>
            </w:r>
          </w:p>
        </w:tc>
        <w:tc>
          <w:tcPr>
            <w:tcW w:type="dxa" w:w="39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Chronic problem list (comorbidities); procedures and surgery with dates</w:t>
            </w:r>
          </w:p>
        </w:tc>
      </w:tr>
      <w:tr>
        <w:tc>
          <w:tcPr>
            <w:tcW w:type="dxa" w:w="19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Laboratory</w:t>
            </w:r>
          </w:p>
        </w:tc>
        <w:tc>
          <w:tcPr>
            <w:tcW w:type="dxa" w:w="4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All results during the stay with value, unit, reference range and time: haemoglobin, white cells, platelets, creatinine, urea, sodium, potassium, glucose, HbA1c, albumin, bilirubin, liver enzymes, CRP, INR</w:t>
            </w:r>
          </w:p>
        </w:tc>
        <w:tc>
          <w:tcPr>
            <w:tcW w:type="dxa" w:w="39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Troponin and BNP where done; results from the 12 months before admission</w:t>
            </w:r>
          </w:p>
        </w:tc>
      </w:tr>
      <w:tr>
        <w:tc>
          <w:tcPr>
            <w:tcW w:type="dxa" w:w="19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Vital signs and observations</w:t>
            </w:r>
          </w:p>
        </w:tc>
        <w:tc>
          <w:tcPr>
            <w:tcW w:type="dxa" w:w="4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None required</w:t>
            </w:r>
          </w:p>
        </w:tc>
        <w:tc>
          <w:tcPr>
            <w:tcW w:type="dxa" w:w="39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Blood pressure, heart rate, breathing rate, temperature, oxygen saturation, weight (last set before discharge matters most); pain, mobility, falls risk</w:t>
            </w:r>
          </w:p>
        </w:tc>
      </w:tr>
      <w:tr>
        <w:tc>
          <w:tcPr>
            <w:tcW w:type="dxa" w:w="19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Medications</w:t>
            </w:r>
          </w:p>
        </w:tc>
        <w:tc>
          <w:tcPr>
            <w:tcW w:type="dxa" w:w="4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Discharge prescription: drug, dose, duration</w:t>
            </w:r>
          </w:p>
        </w:tc>
        <w:tc>
          <w:tcPr>
            <w:tcW w:type="dxa" w:w="39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Inpatient orders with start and stop times; pharmacy refills after discharge</w:t>
            </w:r>
          </w:p>
        </w:tc>
      </w:tr>
      <w:tr>
        <w:tc>
          <w:tcPr>
            <w:tcW w:type="dxa" w:w="19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Earlier and later visits</w:t>
            </w:r>
          </w:p>
        </w:tc>
        <w:tc>
          <w:tcPr>
            <w:tcW w:type="dxa" w:w="4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All earlier admissions, emergency and outpatient visits, with dates and department</w:t>
            </w:r>
          </w:p>
        </w:tc>
        <w:tc>
          <w:tcPr>
            <w:tcW w:type="dxa" w:w="39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Follow-up appointments booked at discharge, and whether attended</w:t>
            </w:r>
          </w:p>
        </w:tc>
      </w:tr>
      <w:tr>
        <w:tc>
          <w:tcPr>
            <w:tcW w:type="dxa" w:w="19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Outcomes</w:t>
            </w:r>
          </w:p>
        </w:tc>
        <w:tc>
          <w:tcPr>
            <w:tcW w:type="dxa" w:w="4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Every later admission with date, type and diagnosis; planned or unplanned (chemotherapy, dialysis and staged surgery are planned)</w:t>
            </w:r>
          </w:p>
        </w:tc>
        <w:tc>
          <w:tcPr>
            <w:tcW w:type="dxa" w:w="39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Deaths after discharge; emergency visits within 30 days; admissions to other hospitals</w:t>
            </w:r>
          </w:p>
        </w:tc>
      </w:tr>
    </w:tbl>
    <w:p>
      <w:pPr>
        <w:spacing w:after="40" w:before="40"/>
      </w:pPr>
      <w:r>
        <w:rPr>
          <w:rFonts w:ascii="Calibri" w:cs="Calibri" w:eastAsia="Calibri" w:hAnsi="Calibri"/>
          <w:sz w:val="18"/>
          <w:szCs w:val="18"/>
        </w:rPr>
        <w:t xml:space="preserve">Free-text discharge summaries are not needed for the pilot.</w:t>
      </w:r>
    </w:p>
    <w:p>
      <w:pPr>
        <w:pStyle w:val="Heading2"/>
        <w:pBdr>
          <w:bottom w:val="single" w:color="B4C6E7" w:sz="4" w:space="1"/>
        </w:pBdr>
        <w:spacing w:after="50" w:before="140"/>
      </w:pPr>
      <w:r>
        <w:rPr>
          <w:rFonts w:ascii="Calibri" w:cs="Calibri" w:eastAsia="Calibri" w:hAnsi="Calibri"/>
          <w:b/>
          <w:bCs/>
          <w:color w:val="1F3864"/>
          <w:sz w:val="22"/>
          <w:szCs w:val="22"/>
        </w:rPr>
        <w:t xml:space="preserve">3. Post-discharge follow-up data (weekly monitoring)</w:t>
      </w:r>
    </w:p>
    <w:p>
      <w:pPr>
        <w:spacing w:after="60" w:line="252"/>
      </w:pPr>
      <w:r>
        <w:rPr>
          <w:rFonts w:ascii="Calibri" w:cs="Calibri" w:eastAsia="Calibri" w:hAnsi="Calibri"/>
          <w:sz w:val="18"/>
          <w:szCs w:val="18"/>
        </w:rPr>
        <w:t xml:space="preserve">Please describe what contact happens after discharge today (phone calls, home visits, clinic follow-ups, pharmacy refills, home devices): who does it, when, and where it is recorded. Where contacts are recorded, we need for each one the study ID, date and contact type, plus any of: weight change, blood pressure, heart rate, oxygen saturation, glucose, symptoms, medication taken as prescribed, pain, mobility and escalations. If follow-up is not recorded, weekly scoring starts from rules agreed with your clinical lead, staff record each weekly check-in in Preventra, and a weekly model is trained once about 100 readmissions among monitored patients have accumulated (typically 6 to 12 months).</w:t>
      </w:r>
    </w:p>
    <w:p>
      <w:pPr>
        <w:pStyle w:val="Heading2"/>
        <w:pBdr>
          <w:bottom w:val="single" w:color="B4C6E7" w:sz="4" w:space="1"/>
        </w:pBdr>
        <w:spacing w:after="50" w:before="140"/>
      </w:pPr>
      <w:r>
        <w:rPr>
          <w:rFonts w:ascii="Calibri" w:cs="Calibri" w:eastAsia="Calibri" w:hAnsi="Calibri"/>
          <w:b/>
          <w:bCs/>
          <w:color w:val="1F3864"/>
          <w:sz w:val="22"/>
          <w:szCs w:val="22"/>
        </w:rPr>
        <w:t xml:space="preserve">4. On-premises infrastructure</w:t>
      </w:r>
    </w:p>
    <w:p>
      <w:pPr>
        <w:spacing w:after="60" w:line="252"/>
      </w:pPr>
      <w:r>
        <w:rPr>
          <w:rFonts w:ascii="Calibri" w:cs="Calibri" w:eastAsia="Calibri" w:hAnsi="Calibri"/>
          <w:sz w:val="18"/>
          <w:szCs w:val="18"/>
        </w:rPr>
        <w:t xml:space="preserve">The risk models run on ordinary processors. Only a local AI assistant needs a GPU, and that can be agreed separately once the core data elements are settled.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4206"/>
      </w:tblGrid>
      <w:tr>
        <w:trPr>
          <w:tblHeader/>
        </w:trPr>
        <w:tc>
          <w:tcPr>
            <w:tcW w:type="dxa" w:w="2300"/>
            <w:tcBorders>
              <w:top w:val="single" w:color="BFBFBF" w:sz="4"/>
              <w:left w:val="single" w:color="BFBFBF" w:sz="4"/>
              <w:bottom w:val="single" w:color="BFBFBF" w:sz="4"/>
              <w:right w:val="single" w:color="BFBFBF" w:sz="4"/>
            </w:tcBorders>
            <w:shd w:fill="DCE6F2" w:color="auto" w:val="clear"/>
            <w:tcMar>
              <w:top w:type="dxa" w:w="30"/>
              <w:left w:type="dxa" w:w="80"/>
              <w:bottom w:type="dxa" w:w="30"/>
              <w:right w:type="dxa" w:w="80"/>
            </w:tcMar>
          </w:tcPr>
          <w:p>
            <w:pPr>
              <w:spacing w:after="0" w:line="240"/>
            </w:pPr>
            <w:r>
              <w:rPr>
                <w:rFonts w:ascii="Calibri" w:cs="Calibri" w:eastAsia="Calibri" w:hAnsi="Calibri"/>
                <w:b/>
                <w:bCs/>
                <w:color w:val="1F3864"/>
                <w:sz w:val="18"/>
                <w:szCs w:val="18"/>
              </w:rPr>
              <w:t xml:space="preserve">Component</w:t>
            </w:r>
          </w:p>
        </w:tc>
        <w:tc>
          <w:tcPr>
            <w:tcW w:type="dxa" w:w="3700"/>
            <w:tcBorders>
              <w:top w:val="single" w:color="BFBFBF" w:sz="4"/>
              <w:left w:val="single" w:color="BFBFBF" w:sz="4"/>
              <w:bottom w:val="single" w:color="BFBFBF" w:sz="4"/>
              <w:right w:val="single" w:color="BFBFBF" w:sz="4"/>
            </w:tcBorders>
            <w:shd w:fill="DCE6F2" w:color="auto" w:val="clear"/>
            <w:tcMar>
              <w:top w:type="dxa" w:w="30"/>
              <w:left w:type="dxa" w:w="80"/>
              <w:bottom w:type="dxa" w:w="30"/>
              <w:right w:type="dxa" w:w="80"/>
            </w:tcMar>
          </w:tcPr>
          <w:p>
            <w:pPr>
              <w:spacing w:after="0" w:line="240"/>
            </w:pPr>
            <w:r>
              <w:rPr>
                <w:rFonts w:ascii="Calibri" w:cs="Calibri" w:eastAsia="Calibri" w:hAnsi="Calibri"/>
                <w:b/>
                <w:bCs/>
                <w:color w:val="1F3864"/>
                <w:sz w:val="18"/>
                <w:szCs w:val="18"/>
              </w:rPr>
              <w:t xml:space="preserve">Minimum</w:t>
            </w:r>
          </w:p>
        </w:tc>
        <w:tc>
          <w:tcPr>
            <w:tcW w:type="dxa" w:w="4206"/>
            <w:tcBorders>
              <w:top w:val="single" w:color="BFBFBF" w:sz="4"/>
              <w:left w:val="single" w:color="BFBFBF" w:sz="4"/>
              <w:bottom w:val="single" w:color="BFBFBF" w:sz="4"/>
              <w:right w:val="single" w:color="BFBFBF" w:sz="4"/>
            </w:tcBorders>
            <w:shd w:fill="DCE6F2" w:color="auto" w:val="clear"/>
            <w:tcMar>
              <w:top w:type="dxa" w:w="30"/>
              <w:left w:type="dxa" w:w="80"/>
              <w:bottom w:type="dxa" w:w="30"/>
              <w:right w:type="dxa" w:w="80"/>
            </w:tcMar>
          </w:tcPr>
          <w:p>
            <w:pPr>
              <w:spacing w:after="0" w:line="240"/>
            </w:pPr>
            <w:r>
              <w:rPr>
                <w:rFonts w:ascii="Calibri" w:cs="Calibri" w:eastAsia="Calibri" w:hAnsi="Calibri"/>
                <w:b/>
                <w:bCs/>
                <w:color w:val="1F3864"/>
                <w:sz w:val="18"/>
                <w:szCs w:val="18"/>
              </w:rPr>
              <w:t xml:space="preserve">Recommended</w:t>
            </w:r>
          </w:p>
        </w:tc>
      </w:tr>
      <w:tr>
        <w:tc>
          <w:tcPr>
            <w:tcW w:type="dxa" w:w="23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Application and database server</w:t>
            </w:r>
          </w:p>
        </w:tc>
        <w:tc>
          <w:tcPr>
            <w:tcW w:type="dxa" w:w="3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4 CPU cores, 16 GB RAM, 250 GB SSD</w:t>
            </w:r>
          </w:p>
        </w:tc>
        <w:tc>
          <w:tcPr>
            <w:tcW w:type="dxa" w:w="42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8 CPU cores, 32 GB RAM, 500 GB SSD</w:t>
            </w:r>
          </w:p>
        </w:tc>
      </w:tr>
      <w:tr>
        <w:tc>
          <w:tcPr>
            <w:tcW w:type="dxa" w:w="23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Operating system and software</w:t>
            </w:r>
          </w:p>
        </w:tc>
        <w:tc>
          <w:tcPr>
            <w:tcW w:type="dxa" w:w="3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64-bit Linux (Ubuntu 22.04 or 24.04 LTS, or RHEL 9) with Docker Engine and Docker Compose</w:t>
            </w:r>
          </w:p>
        </w:tc>
        <w:tc>
          <w:tcPr>
            <w:tcW w:type="dxa" w:w="42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Same; tell us if only Windows Server or Kubernetes is allowed</w:t>
            </w:r>
          </w:p>
        </w:tc>
      </w:tr>
      <w:tr>
        <w:tc>
          <w:tcPr>
            <w:tcW w:type="dxa" w:w="23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Database</w:t>
            </w:r>
          </w:p>
        </w:tc>
        <w:tc>
          <w:tcPr>
            <w:tcW w:type="dxa" w:w="3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MongoDB 7 in a container on the same server</w:t>
            </w:r>
          </w:p>
        </w:tc>
        <w:tc>
          <w:tcPr>
            <w:tcW w:type="dxa" w:w="42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Separate database server; tell us if a different database is mandated</w:t>
            </w:r>
          </w:p>
        </w:tc>
      </w:tr>
      <w:tr>
        <w:tc>
          <w:tcPr>
            <w:tcW w:type="dxa" w:w="23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Network and security</w:t>
            </w:r>
          </w:p>
        </w:tc>
        <w:tc>
          <w:tcPr>
            <w:tcW w:type="dxa" w:w="3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Read-only access to HIS, lab and pharmacy data; HTTPS on the internal network</w:t>
            </w:r>
          </w:p>
        </w:tc>
        <w:tc>
          <w:tcPr>
            <w:tcW w:type="dxa" w:w="42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Internal DNS name and TLS certificate; VPN for supervised remote support</w:t>
            </w:r>
          </w:p>
        </w:tc>
      </w:tr>
      <w:tr>
        <w:tc>
          <w:tcPr>
            <w:tcW w:type="dxa" w:w="23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Backups</w:t>
            </w:r>
          </w:p>
        </w:tc>
        <w:tc>
          <w:tcPr>
            <w:tcW w:type="dxa" w:w="3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Encrypted daily database backup, kept 30 days</w:t>
            </w:r>
          </w:p>
        </w:tc>
        <w:tc>
          <w:tcPr>
            <w:tcW w:type="dxa" w:w="42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Plus a copy held off the server</w:t>
            </w:r>
          </w:p>
        </w:tc>
      </w:tr>
      <w:tr>
        <w:tc>
          <w:tcPr>
            <w:tcW w:type="dxa" w:w="23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AI assistant (discussed separately)</w:t>
            </w:r>
          </w:p>
        </w:tc>
        <w:tc>
          <w:tcPr>
            <w:tcW w:type="dxa" w:w="3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None: AI features switched off</w:t>
            </w:r>
          </w:p>
        </w:tc>
        <w:tc>
          <w:tcPr>
            <w:tcW w:type="dxa" w:w="42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One GPU server: 48 to 80 GB GPU memory, 64 GB RAM, 1 TB SSD; or an external AI service that receives no patient-level data</w:t>
            </w:r>
          </w:p>
        </w:tc>
      </w:tr>
      <w:tr>
        <w:tc>
          <w:tcPr>
            <w:tcW w:type="dxa" w:w="2300"/>
            <w:tcBorders>
              <w:top w:val="single" w:color="BFBFBF" w:sz="4"/>
              <w:left w:val="single" w:color="BFBFBF" w:sz="4"/>
              <w:bottom w:val="single" w:color="BFBFBF" w:sz="4"/>
              <w:right w:val="single" w:color="BFBFBF" w:sz="4"/>
            </w:tcBorders>
            <w:shd w:fill="F2F2F2" w:color="auto"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User devices</w:t>
            </w:r>
          </w:p>
        </w:tc>
        <w:tc>
          <w:tcPr>
            <w:tcW w:type="dxa" w:w="3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Current Chrome or Edge on desktop</w:t>
            </w:r>
          </w:p>
        </w:tc>
        <w:tc>
          <w:tcPr>
            <w:tcW w:type="dxa" w:w="420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Calibri" w:cs="Calibri" w:eastAsia="Calibri" w:hAnsi="Calibri"/>
                <w:sz w:val="18"/>
                <w:szCs w:val="18"/>
              </w:rPr>
              <w:t xml:space="preserve">Tablets for ward rounds</w:t>
            </w:r>
          </w:p>
        </w:tc>
      </w:tr>
    </w:tbl>
    <w:p>
      <w:pPr>
        <w:spacing w:after="40" w:before="60"/>
      </w:pPr>
      <w:r>
        <w:rPr>
          <w:rFonts w:ascii="Calibri" w:cs="Calibri" w:eastAsia="Calibri" w:hAnsi="Calibri"/>
          <w:sz w:val="18"/>
          <w:szCs w:val="18"/>
        </w:rPr>
        <w:t xml:space="preserve">Please also tell us: whether the server may reach the internet for updates or must run fully offline; whether staff sign in with local accounts or your directory (Active Directory, LDAP, single sign-on); maintenance windows and change-control process; how long logs and audit records must be kept; and a named IT contact.</w:t>
      </w:r>
    </w:p>
    <w:p>
      <w:pPr>
        <w:pStyle w:val="Heading2"/>
        <w:pBdr>
          <w:bottom w:val="single" w:color="B4C6E7" w:sz="4" w:space="1"/>
        </w:pBdr>
        <w:spacing w:after="50" w:before="140"/>
      </w:pPr>
      <w:r>
        <w:rPr>
          <w:rFonts w:ascii="Calibri" w:cs="Calibri" w:eastAsia="Calibri" w:hAnsi="Calibri"/>
          <w:b/>
          <w:bCs/>
          <w:color w:val="1F3864"/>
          <w:sz w:val="22"/>
          <w:szCs w:val="22"/>
        </w:rPr>
        <w:t xml:space="preserve">5. Other information for the models and the interface</w:t>
      </w:r>
    </w:p>
    <w:p>
      <w:pPr>
        <w:pStyle w:val="ListParagraph"/>
        <w:numPr>
          <w:ilvl w:val="0"/>
          <w:numId w:val="2"/>
        </w:numPr>
        <w:spacing w:after="20" w:line="252"/>
      </w:pPr>
      <w:r>
        <w:rPr>
          <w:rFonts w:ascii="Calibri" w:cs="Calibri" w:eastAsia="Calibri" w:hAnsi="Calibri"/>
          <w:b/>
          <w:bCs/>
          <w:sz w:val="18"/>
          <w:szCs w:val="18"/>
        </w:rPr>
        <w:t xml:space="preserve">Pilot scope and users:</w:t>
      </w:r>
      <w:r>
        <w:rPr>
          <w:rFonts w:ascii="Calibri" w:cs="Calibri" w:eastAsia="Calibri" w:hAnsi="Calibri"/>
          <w:sz w:val="18"/>
          <w:szCs w:val="18"/>
        </w:rPr>
        <w:t xml:space="preserve"> departments or wards taking part; a staff list with roles (doctor, nurse, case manager, administrator) for accounts and patient assignment; sites and care teams.</w:t>
      </w:r>
    </w:p>
    <w:p>
      <w:pPr>
        <w:pStyle w:val="ListParagraph"/>
        <w:numPr>
          <w:ilvl w:val="0"/>
          <w:numId w:val="2"/>
        </w:numPr>
        <w:spacing w:after="20" w:line="252"/>
      </w:pPr>
      <w:r>
        <w:rPr>
          <w:rFonts w:ascii="Calibri" w:cs="Calibri" w:eastAsia="Calibri" w:hAnsi="Calibri"/>
          <w:b/>
          <w:bCs/>
          <w:sz w:val="18"/>
          <w:szCs w:val="18"/>
        </w:rPr>
        <w:t xml:space="preserve">Workflow:</w:t>
      </w:r>
      <w:r>
        <w:rPr>
          <w:rFonts w:ascii="Calibri" w:cs="Calibri" w:eastAsia="Calibri" w:hAnsi="Calibri"/>
          <w:sz w:val="18"/>
          <w:szCs w:val="18"/>
        </w:rPr>
        <w:t xml:space="preserve"> how discharge and follow-up work today, what should happen when a patient is flagged high risk, and who does it.</w:t>
      </w:r>
    </w:p>
    <w:p>
      <w:pPr>
        <w:pStyle w:val="ListParagraph"/>
        <w:numPr>
          <w:ilvl w:val="0"/>
          <w:numId w:val="2"/>
        </w:numPr>
        <w:spacing w:after="20" w:line="252"/>
      </w:pPr>
      <w:r>
        <w:rPr>
          <w:rFonts w:ascii="Calibri" w:cs="Calibri" w:eastAsia="Calibri" w:hAnsi="Calibri"/>
          <w:b/>
          <w:bCs/>
          <w:sz w:val="18"/>
          <w:szCs w:val="18"/>
        </w:rPr>
        <w:t xml:space="preserve">Capacity:</w:t>
      </w:r>
      <w:r>
        <w:rPr>
          <w:rFonts w:ascii="Calibri" w:cs="Calibri" w:eastAsia="Calibri" w:hAnsi="Calibri"/>
          <w:sz w:val="18"/>
          <w:szCs w:val="18"/>
        </w:rPr>
        <w:t xml:space="preserve"> how many patients staff can follow up each week; this sets how many patients are placed in the High band.</w:t>
      </w:r>
    </w:p>
    <w:p>
      <w:pPr>
        <w:pStyle w:val="ListParagraph"/>
        <w:numPr>
          <w:ilvl w:val="0"/>
          <w:numId w:val="2"/>
        </w:numPr>
        <w:spacing w:after="20" w:line="252"/>
      </w:pPr>
      <w:r>
        <w:rPr>
          <w:rFonts w:ascii="Calibri" w:cs="Calibri" w:eastAsia="Calibri" w:hAnsi="Calibri"/>
          <w:b/>
          <w:bCs/>
          <w:sz w:val="18"/>
          <w:szCs w:val="18"/>
        </w:rPr>
        <w:t xml:space="preserve">Local conventions:</w:t>
      </w:r>
      <w:r>
        <w:rPr>
          <w:rFonts w:ascii="Calibri" w:cs="Calibri" w:eastAsia="Calibri" w:hAnsi="Calibri"/>
          <w:sz w:val="18"/>
          <w:szCs w:val="18"/>
        </w:rPr>
        <w:t xml:space="preserve"> interface language, lab units (mg/dL or mmol/L), date format, devices and network quality on wards.</w:t>
      </w:r>
    </w:p>
    <w:p>
      <w:pPr>
        <w:pStyle w:val="ListParagraph"/>
        <w:numPr>
          <w:ilvl w:val="0"/>
          <w:numId w:val="2"/>
        </w:numPr>
        <w:spacing w:after="20" w:line="252"/>
      </w:pPr>
      <w:r>
        <w:rPr>
          <w:rFonts w:ascii="Calibri" w:cs="Calibri" w:eastAsia="Calibri" w:hAnsi="Calibri"/>
          <w:b/>
          <w:bCs/>
          <w:sz w:val="18"/>
          <w:szCs w:val="18"/>
        </w:rPr>
        <w:t xml:space="preserve">Clinical lead and baseline:</w:t>
      </w:r>
      <w:r>
        <w:rPr>
          <w:rFonts w:ascii="Calibri" w:cs="Calibri" w:eastAsia="Calibri" w:hAnsi="Calibri"/>
          <w:sz w:val="18"/>
          <w:szCs w:val="18"/>
        </w:rPr>
        <w:t xml:space="preserve"> a named doctor and nurse to review rules, thresholds and explanations; any risk score already in use (for example LACE); current 30-day readmission and follow-up rates by department.</w:t>
      </w:r>
    </w:p>
    <w:p>
      <w:pPr>
        <w:pStyle w:val="ListParagraph"/>
        <w:numPr>
          <w:ilvl w:val="0"/>
          <w:numId w:val="2"/>
        </w:numPr>
        <w:spacing w:after="20" w:line="252"/>
      </w:pPr>
      <w:r>
        <w:rPr>
          <w:rFonts w:ascii="Calibri" w:cs="Calibri" w:eastAsia="Calibri" w:hAnsi="Calibri"/>
          <w:b/>
          <w:bCs/>
          <w:sz w:val="18"/>
          <w:szCs w:val="18"/>
        </w:rPr>
        <w:t xml:space="preserve">Governance, before any data is shared:</w:t>
      </w:r>
      <w:r>
        <w:rPr>
          <w:rFonts w:ascii="Calibri" w:cs="Calibri" w:eastAsia="Calibri" w:hAnsi="Calibri"/>
          <w:sz w:val="18"/>
          <w:szCs w:val="18"/>
        </w:rPr>
        <w:t xml:space="preserve"> a data-sharing agreement (purpose, fields, storage, retention, deletion), ethics or institutional approval where required, de-identification performed by your team, and agreed access for ours. Preventra is decision support; clinicians make every care decision.</w:t>
      </w:r>
    </w:p>
    <w:sectPr>
      <w:pgSz w:w="11906" w:h="16838" w:orient="portrait"/>
      <w:pgMar w:top="780" w:right="850" w:bottom="78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2026-10-15T06:07:53.265Z</dcterms:created>
  <dcterms:modified xsi:type="dcterms:W3CDTF">2026-10-15T06:07:53.265Z</dcterms:modified>
</cp:coreProperties>
</file>

<file path=docProps/custom.xml><?xml version="1.0" encoding="utf-8"?>
<Properties xmlns="http://schemas.openxmlformats.org/officeDocument/2006/custom-properties" xmlns:vt="http://schemas.openxmlformats.org/officeDocument/2006/docPropsVTypes"/>
</file>