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8806"/>
      </w:tblGrid>
      <w:tr>
        <w:tc>
          <w:tcPr>
            <w:tcW w:type="dxa" w:w="1500"/>
            <w:tcBorders>
              <w:top w:val="none" w:color="FFFFFF" w:sz="0"/>
              <w:left w:val="none" w:color="FFFFFF" w:sz="0"/>
              <w:bottom w:val="none" w:color="FFFFFF" w:sz="0"/>
              <w:right w:val="none" w:color="FFFFFF" w:sz="0"/>
            </w:tcBorders>
            <w:vAlign w:val="center"/>
          </w:tcPr>
          <w:p>
            <w:r>
              <w:drawing>
                <wp:inline distT="0" distB="0" distL="0" distR="0">
                  <wp:extent cx="800100" cy="628650"/>
                  <wp:effectExtent t="0" r="0" b="0" l="0"/>
                  <wp:docPr id="1" name="Preventra logo" descr="Preventra logo" title="Preven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0100" cy="628650"/>
                          </a:xfrm>
                          <a:prstGeom prst="rect">
                            <a:avLst/>
                          </a:prstGeom>
                        </pic:spPr>
                      </pic:pic>
                    </a:graphicData>
                  </a:graphic>
                </wp:inline>
              </w:drawing>
            </w:r>
          </w:p>
        </w:tc>
        <w:tc>
          <w:tcPr>
            <w:tcW w:type="dxa" w:w="8806"/>
            <w:tcBorders>
              <w:top w:val="none" w:color="FFFFFF" w:sz="0"/>
              <w:left w:val="none" w:color="FFFFFF" w:sz="0"/>
              <w:bottom w:val="none" w:color="FFFFFF" w:sz="0"/>
              <w:right w:val="none" w:color="FFFFFF" w:sz="0"/>
            </w:tcBorders>
            <w:vAlign w:val="center"/>
          </w:tcPr>
          <w:p>
            <w:pPr>
              <w:spacing w:after="0"/>
            </w:pPr>
            <w:r>
              <w:rPr>
                <w:rFonts w:ascii="Calibri" w:cs="Calibri" w:eastAsia="Calibri" w:hAnsi="Calibri"/>
                <w:b/>
                <w:bCs/>
                <w:color w:val="0E1A33"/>
                <w:sz w:val="32"/>
                <w:szCs w:val="32"/>
              </w:rPr>
              <w:t xml:space="preserve">Readmission Risk Pilot</w:t>
            </w:r>
          </w:p>
          <w:p>
            <w:pPr>
              <w:spacing w:after="20"/>
            </w:pPr>
            <w:r>
              <w:rPr>
                <w:rFonts w:ascii="Calibri" w:cs="Calibri" w:eastAsia="Calibri" w:hAnsi="Calibri"/>
                <w:b/>
                <w:bCs/>
                <w:color w:val="2FB596"/>
                <w:sz w:val="24"/>
                <w:szCs w:val="24"/>
              </w:rPr>
              <w:t xml:space="preserve">Data and server requirements</w:t>
            </w:r>
          </w:p>
          <w:p>
            <w:r>
              <w:rPr>
                <w:rFonts w:ascii="Calibri" w:cs="Calibri" w:eastAsia="Calibri" w:hAnsi="Calibri"/>
                <w:i/>
                <w:iCs/>
                <w:color w:val="595959"/>
                <w:sz w:val="16"/>
                <w:szCs w:val="16"/>
              </w:rPr>
              <w:t xml:space="preserve">What we need from the clinic to train, test and run Preventra on site · October 2026</w:t>
            </w:r>
          </w:p>
        </w:tc>
      </w:tr>
    </w:tbl>
    <w:p>
      <w:pPr>
        <w:pBdr>
          <w:bottom w:val="single" w:color="2FB596" w:sz="12" w:space="1"/>
        </w:pBdr>
        <w:spacing w:after="40"/>
      </w:pPr>
    </w:p>
    <w:p>
      <w:pPr>
        <w:spacing w:after="50" w:before="60" w:line="245"/>
      </w:pPr>
      <w:r>
        <w:rPr>
          <w:rFonts w:ascii="Calibri" w:cs="Calibri" w:eastAsia="Calibri" w:hAnsi="Calibri"/>
          <w:sz w:val="17"/>
          <w:szCs w:val="17"/>
        </w:rPr>
        <w:t xml:space="preserve">Preventra scores each adult patient's risk of readmission within 30 days at discharge, then tracks them week by week until day 30. The clinic's own model is trained on its history and tested on its most recent year before anyone relies on it. </w:t>
      </w:r>
      <w:r>
        <w:rPr>
          <w:rFonts w:ascii="Calibri" w:cs="Calibri" w:eastAsia="Calibri" w:hAnsi="Calibri"/>
          <w:b/>
          <w:bCs/>
          <w:sz w:val="17"/>
          <w:szCs w:val="17"/>
        </w:rPr>
        <w:t xml:space="preserve">History and live discharges are sent in the same files</w:t>
      </w:r>
      <w:r>
        <w:rPr>
          <w:rFonts w:ascii="Calibri" w:cs="Calibri" w:eastAsia="Calibri" w:hAnsi="Calibri"/>
          <w:sz w:val="17"/>
          <w:szCs w:val="17"/>
        </w:rPr>
        <w:t xml:space="preserve">, so the model is trained on exactly the inputs it will see in use.</w:t>
      </w:r>
    </w:p>
    <w:p>
      <w:pPr>
        <w:spacing w:after="50" w:line="245"/>
      </w:pPr>
      <w:r>
        <w:rPr>
          <w:rFonts w:ascii="Calibri" w:cs="Calibri" w:eastAsia="Calibri" w:hAnsi="Calibri"/>
          <w:b/>
          <w:bCs/>
          <w:sz w:val="17"/>
          <w:szCs w:val="17"/>
        </w:rPr>
        <w:t xml:space="preserve">On site:</w:t>
      </w:r>
      <w:r>
        <w:rPr>
          <w:rFonts w:ascii="Calibri" w:cs="Calibri" w:eastAsia="Calibri" w:hAnsi="Calibri"/>
          <w:sz w:val="17"/>
          <w:szCs w:val="17"/>
        </w:rPr>
        <w:t xml:space="preserve"> software, models and patient data stay on the clinic's servers. </w:t>
      </w:r>
      <w:r>
        <w:rPr>
          <w:rFonts w:ascii="Calibri" w:cs="Calibri" w:eastAsia="Calibri" w:hAnsi="Calibri"/>
          <w:b/>
          <w:bCs/>
          <w:sz w:val="17"/>
          <w:szCs w:val="17"/>
        </w:rPr>
        <w:t xml:space="preserve">De-identified:</w:t>
      </w:r>
      <w:r>
        <w:rPr>
          <w:rFonts w:ascii="Calibri" w:cs="Calibri" w:eastAsia="Calibri" w:hAnsi="Calibri"/>
          <w:sz w:val="17"/>
          <w:szCs w:val="17"/>
        </w:rPr>
        <w:t xml:space="preserve"> patients and stays are identified by study keys; ages over 90 are recorded as 90. </w:t>
      </w:r>
      <w:r>
        <w:rPr>
          <w:rFonts w:ascii="Calibri" w:cs="Calibri" w:eastAsia="Calibri" w:hAnsi="Calibri"/>
          <w:b/>
          <w:bCs/>
          <w:sz w:val="17"/>
          <w:szCs w:val="17"/>
        </w:rPr>
        <w:t xml:space="preserve">Time-stamped:</w:t>
      </w:r>
      <w:r>
        <w:rPr>
          <w:rFonts w:ascii="Calibri" w:cs="Calibri" w:eastAsia="Calibri" w:hAnsi="Calibri"/>
          <w:sz w:val="17"/>
          <w:szCs w:val="17"/>
        </w:rPr>
        <w:t xml:space="preserve"> every record carries the time it was made, so the model only uses what was known at discharge. </w:t>
      </w:r>
      <w:r>
        <w:rPr>
          <w:rFonts w:ascii="Calibri" w:cs="Calibri" w:eastAsia="Calibri" w:hAnsi="Calibri"/>
          <w:b/>
          <w:bCs/>
          <w:sz w:val="17"/>
          <w:szCs w:val="17"/>
        </w:rPr>
        <w:t xml:space="preserve">Minimum necessary:</w:t>
      </w:r>
      <w:r>
        <w:rPr>
          <w:rFonts w:ascii="Calibri" w:cs="Calibri" w:eastAsia="Calibri" w:hAnsi="Calibri"/>
          <w:sz w:val="17"/>
          <w:szCs w:val="17"/>
        </w:rPr>
        <w:t xml:space="preserve"> tell us what you cannot provide and we will plan around it.</w:t>
      </w:r>
    </w:p>
    <w:p>
      <w:pPr>
        <w:pStyle w:val="Heading2"/>
        <w:pBdr>
          <w:bottom w:val="single" w:color="2FB596" w:sz="6" w:space="1"/>
        </w:pBdr>
        <w:spacing w:after="40" w:before="110"/>
      </w:pPr>
      <w:r>
        <w:rPr>
          <w:rFonts w:ascii="Calibri" w:cs="Calibri" w:eastAsia="Calibri" w:hAnsi="Calibri"/>
          <w:b/>
          <w:bCs/>
          <w:color w:val="0E1A33"/>
          <w:sz w:val="21"/>
          <w:szCs w:val="21"/>
        </w:rPr>
        <w:t xml:space="preserve">1. Client data inventory</w:t>
      </w:r>
    </w:p>
    <w:p>
      <w:pPr>
        <w:pStyle w:val="ListParagraph"/>
        <w:numPr>
          <w:ilvl w:val="0"/>
          <w:numId w:val="2"/>
        </w:numPr>
        <w:spacing w:after="15" w:line="245"/>
      </w:pPr>
      <w:r>
        <w:rPr>
          <w:rFonts w:ascii="Calibri" w:cs="Calibri" w:eastAsia="Calibri" w:hAnsi="Calibri"/>
          <w:b/>
          <w:bCs/>
          <w:sz w:val="17"/>
          <w:szCs w:val="17"/>
        </w:rPr>
        <w:t xml:space="preserve">Source systems:</w:t>
      </w:r>
      <w:r>
        <w:rPr>
          <w:rFonts w:ascii="Calibri" w:cs="Calibri" w:eastAsia="Calibri" w:hAnsi="Calibri"/>
          <w:sz w:val="17"/>
          <w:szCs w:val="17"/>
        </w:rPr>
        <w:t xml:space="preserve"> name, vendor, version and owner of the HIS/EHR, admission-discharge-transfer, laboratory, pharmacy, billing and coding, outpatient and emergency systems.</w:t>
      </w:r>
    </w:p>
    <w:p>
      <w:pPr>
        <w:pStyle w:val="ListParagraph"/>
        <w:numPr>
          <w:ilvl w:val="0"/>
          <w:numId w:val="2"/>
        </w:numPr>
        <w:spacing w:after="15" w:line="245"/>
      </w:pPr>
      <w:r>
        <w:rPr>
          <w:rFonts w:ascii="Calibri" w:cs="Calibri" w:eastAsia="Calibri" w:hAnsi="Calibri"/>
          <w:b/>
          <w:bCs/>
          <w:sz w:val="17"/>
          <w:szCs w:val="17"/>
        </w:rPr>
        <w:t xml:space="preserve">Data dictionaries and database schemas:</w:t>
      </w:r>
      <w:r>
        <w:rPr>
          <w:rFonts w:ascii="Calibri" w:cs="Calibri" w:eastAsia="Calibri" w:hAnsi="Calibri"/>
          <w:sz w:val="17"/>
          <w:szCs w:val="17"/>
        </w:rPr>
        <w:t xml:space="preserve"> tables, how they link, field meanings, allowed values and units.</w:t>
      </w:r>
    </w:p>
    <w:p>
      <w:pPr>
        <w:pStyle w:val="ListParagraph"/>
        <w:numPr>
          <w:ilvl w:val="0"/>
          <w:numId w:val="2"/>
        </w:numPr>
        <w:spacing w:after="15" w:line="245"/>
      </w:pPr>
      <w:r>
        <w:rPr>
          <w:rFonts w:ascii="Calibri" w:cs="Calibri" w:eastAsia="Calibri" w:hAnsi="Calibri"/>
          <w:b/>
          <w:bCs/>
          <w:sz w:val="17"/>
          <w:szCs w:val="17"/>
        </w:rPr>
        <w:t xml:space="preserve">Code lists:</w:t>
      </w:r>
      <w:r>
        <w:rPr>
          <w:rFonts w:ascii="Calibri" w:cs="Calibri" w:eastAsia="Calibri" w:hAnsi="Calibri"/>
          <w:sz w:val="17"/>
          <w:szCs w:val="17"/>
        </w:rPr>
        <w:t xml:space="preserve"> your codes for admission type, discharge destination, payer, sex and marital status (we map them once, at set-up); ICD edition; lab test names, LOINC codes where used, and units; how drugs are named.</w:t>
      </w:r>
    </w:p>
    <w:p>
      <w:pPr>
        <w:pStyle w:val="ListParagraph"/>
        <w:numPr>
          <w:ilvl w:val="0"/>
          <w:numId w:val="2"/>
        </w:numPr>
        <w:spacing w:after="15" w:line="245"/>
      </w:pPr>
      <w:r>
        <w:rPr>
          <w:rFonts w:ascii="Calibri" w:cs="Calibri" w:eastAsia="Calibri" w:hAnsi="Calibri"/>
          <w:b/>
          <w:bCs/>
          <w:sz w:val="17"/>
          <w:szCs w:val="17"/>
        </w:rPr>
        <w:t xml:space="preserve">Sample:</w:t>
      </w:r>
      <w:r>
        <w:rPr>
          <w:rFonts w:ascii="Calibri" w:cs="Calibri" w:eastAsia="Calibri" w:hAnsi="Calibri"/>
          <w:sz w:val="17"/>
          <w:szCs w:val="17"/>
        </w:rPr>
        <w:t xml:space="preserve"> 50 to 100 complete de-identified stays in the file format in section 2, so the feed can be tested end to end before the full history.</w:t>
      </w:r>
    </w:p>
    <w:p>
      <w:pPr>
        <w:pStyle w:val="ListParagraph"/>
        <w:numPr>
          <w:ilvl w:val="0"/>
          <w:numId w:val="2"/>
        </w:numPr>
        <w:spacing w:after="15" w:line="245"/>
      </w:pPr>
      <w:r>
        <w:rPr>
          <w:rFonts w:ascii="Calibri" w:cs="Calibri" w:eastAsia="Calibri" w:hAnsi="Calibri"/>
          <w:b/>
          <w:bCs/>
          <w:sz w:val="17"/>
          <w:szCs w:val="17"/>
        </w:rPr>
        <w:t xml:space="preserve">Volumes and known gaps:</w:t>
      </w:r>
      <w:r>
        <w:rPr>
          <w:rFonts w:ascii="Calibri" w:cs="Calibri" w:eastAsia="Calibri" w:hAnsi="Calibri"/>
          <w:sz w:val="17"/>
          <w:szCs w:val="17"/>
        </w:rPr>
        <w:t xml:space="preserve"> beds, admissions per year, departments; paper-only periods, system migrations, fields filled inconsistently.</w:t>
      </w:r>
    </w:p>
    <w:p>
      <w:pPr>
        <w:pStyle w:val="Heading2"/>
        <w:pBdr>
          <w:bottom w:val="single" w:color="2FB596" w:sz="6" w:space="1"/>
        </w:pBdr>
        <w:spacing w:after="40" w:before="110"/>
      </w:pPr>
      <w:r>
        <w:rPr>
          <w:rFonts w:ascii="Calibri" w:cs="Calibri" w:eastAsia="Calibri" w:hAnsi="Calibri"/>
          <w:b/>
          <w:bCs/>
          <w:color w:val="0E1A33"/>
          <w:sz w:val="21"/>
          <w:szCs w:val="21"/>
        </w:rPr>
        <w:t xml:space="preserve">2. Historical data availability</w:t>
      </w:r>
    </w:p>
    <w:p>
      <w:pPr>
        <w:spacing w:after="50" w:line="245"/>
      </w:pPr>
      <w:r>
        <w:rPr>
          <w:rFonts w:ascii="Calibri" w:cs="Calibri" w:eastAsia="Calibri" w:hAnsi="Calibri"/>
          <w:sz w:val="17"/>
          <w:szCs w:val="17"/>
        </w:rPr>
        <w:t xml:space="preserve">At least </w:t>
      </w:r>
      <w:r>
        <w:rPr>
          <w:rFonts w:ascii="Calibri" w:cs="Calibri" w:eastAsia="Calibri" w:hAnsi="Calibri"/>
          <w:b/>
          <w:bCs/>
          <w:sz w:val="17"/>
          <w:szCs w:val="17"/>
        </w:rPr>
        <w:t xml:space="preserve">3 years</w:t>
      </w:r>
      <w:r>
        <w:rPr>
          <w:rFonts w:ascii="Calibri" w:cs="Calibri" w:eastAsia="Calibri" w:hAnsi="Calibri"/>
          <w:sz w:val="17"/>
          <w:szCs w:val="17"/>
        </w:rPr>
        <w:t xml:space="preserve"> of inpatient stays (5 preferred). </w:t>
      </w:r>
      <w:r>
        <w:rPr>
          <w:rFonts w:ascii="Consolas" w:cs="Consolas" w:eastAsia="Consolas" w:hAnsi="Consolas"/>
          <w:color w:val="0E1A33"/>
          <w:sz w:val="16"/>
          <w:szCs w:val="16"/>
        </w:rPr>
        <w:t xml:space="preserve">patient_key</w:t>
      </w:r>
      <w:r>
        <w:rPr>
          <w:rFonts w:ascii="Calibri" w:cs="Calibri" w:eastAsia="Calibri" w:hAnsi="Calibri"/>
          <w:sz w:val="17"/>
          <w:szCs w:val="17"/>
        </w:rPr>
        <w:t xml:space="preserve"> must stay the same for a patient across every stay and year, and </w:t>
      </w: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must be unique per stay. Testing needs </w:t>
      </w:r>
      <w:r>
        <w:rPr>
          <w:rFonts w:ascii="Calibri" w:cs="Calibri" w:eastAsia="Calibri" w:hAnsi="Calibri"/>
          <w:b/>
          <w:bCs/>
          <w:sz w:val="17"/>
          <w:szCs w:val="17"/>
        </w:rPr>
        <w:t xml:space="preserve">at least 100 readmissions</w:t>
      </w:r>
      <w:r>
        <w:rPr>
          <w:rFonts w:ascii="Calibri" w:cs="Calibri" w:eastAsia="Calibri" w:hAnsi="Calibri"/>
          <w:sz w:val="17"/>
          <w:szCs w:val="17"/>
        </w:rPr>
        <w:t xml:space="preserve"> in the most recent period: about 3,500 to 5,000 discharges at a 10 to 15% readmission rate.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650"/>
        <w:gridCol w:w="4600"/>
        <w:gridCol w:w="4056"/>
      </w:tblGrid>
      <w:tr>
        <w:trPr>
          <w:tblHeader/>
        </w:trPr>
        <w:tc>
          <w:tcPr>
            <w:tcW w:type="dxa" w:w="1650"/>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File (one row per)</w:t>
            </w:r>
          </w:p>
        </w:tc>
        <w:tc>
          <w:tcPr>
            <w:tcW w:type="dxa" w:w="4600"/>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Required fields</w:t>
            </w:r>
          </w:p>
        </w:tc>
        <w:tc>
          <w:tcPr>
            <w:tcW w:type="dxa" w:w="4056"/>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If available</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encounters (stay)</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w:t>
            </w:r>
            <w:r>
              <w:rPr>
                <w:rFonts w:ascii="Consolas" w:cs="Consolas" w:eastAsia="Consolas" w:hAnsi="Consolas"/>
                <w:color w:val="0E1A33"/>
                <w:sz w:val="16"/>
                <w:szCs w:val="16"/>
              </w:rPr>
              <w:t xml:space="preserve">patient_key</w:t>
            </w:r>
            <w:r>
              <w:rPr>
                <w:rFonts w:ascii="Calibri" w:cs="Calibri" w:eastAsia="Calibri" w:hAnsi="Calibri"/>
                <w:sz w:val="17"/>
                <w:szCs w:val="17"/>
              </w:rPr>
              <w:t xml:space="preserve">, admission and discharge date-time, age in years, admission type, discharge destination, died in hospital</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Payer, emergency-department arrival and departure times, observation stay, planned admission; discharge vitals: weight, oxygen saturation, systolic blood pressure, heart rate, walking distance, pain score</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patients (patient)</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patient_key</w:t>
            </w:r>
            <w:r>
              <w:rPr>
                <w:rFonts w:ascii="Calibri" w:cs="Calibri" w:eastAsia="Calibri" w:hAnsi="Calibri"/>
                <w:sz w:val="17"/>
                <w:szCs w:val="17"/>
              </w:rPr>
              <w:t xml:space="preserve">, sex</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Marital status, ethnicity, date of death</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diagnoses (diagnosis)</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ICD code, ICD version (9 or 10), sequence (1 = principal)</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Description; date-time the code was recorded</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labs (result)</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test name or LOINC code, value, unit, result date-time. The model reads 12 tests: albumin, bicarbonate, urea, creatinine, glucose, HbA1c, haemoglobin, INR, platelets, potassium, sodium, white cells</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Abnormal flag, reference range. Common SI units (mmol/L, µmol/L, g/L) are converted automatically</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medications (order)</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drug name, order start date-time</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RxNorm or ATC code, route</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procedures (procedure)</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procedure code, code system</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Procedure date-time</w:t>
            </w:r>
          </w:p>
        </w:tc>
      </w:tr>
      <w:tr>
        <w:trPr>
          <w:cantSplit/>
        </w:trPr>
        <w:tc>
          <w:tcPr>
            <w:tcW w:type="dxa" w:w="165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drg (stay)</w:t>
            </w:r>
          </w:p>
        </w:tc>
        <w:tc>
          <w:tcPr>
            <w:tcW w:type="dxa" w:w="46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Only if your hospital groups stays into DRGs</w:t>
            </w:r>
          </w:p>
        </w:tc>
        <w:tc>
          <w:tcPr>
            <w:tcW w:type="dxa" w:w="405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DRG system and code, severity of illness, risk of mortality</w:t>
            </w:r>
          </w:p>
        </w:tc>
      </w:tr>
    </w:tbl>
    <w:p>
      <w:pPr>
        <w:spacing w:after="40" w:before="50" w:line="245"/>
      </w:pPr>
      <w:r>
        <w:rPr>
          <w:rFonts w:ascii="Calibri" w:cs="Calibri" w:eastAsia="Calibri" w:hAnsi="Calibri"/>
          <w:b/>
          <w:bCs/>
          <w:sz w:val="17"/>
          <w:szCs w:val="17"/>
        </w:rPr>
        <w:t xml:space="preserve">Outcomes need no separate file.</w:t>
      </w:r>
      <w:r>
        <w:rPr>
          <w:rFonts w:ascii="Calibri" w:cs="Calibri" w:eastAsia="Calibri" w:hAnsi="Calibri"/>
          <w:sz w:val="17"/>
          <w:szCs w:val="17"/>
        </w:rPr>
        <w:t xml:space="preserve"> A readmission is the same </w:t>
      </w:r>
      <w:r>
        <w:rPr>
          <w:rFonts w:ascii="Consolas" w:cs="Consolas" w:eastAsia="Consolas" w:hAnsi="Consolas"/>
          <w:color w:val="0E1A33"/>
          <w:sz w:val="16"/>
          <w:szCs w:val="16"/>
        </w:rPr>
        <w:t xml:space="preserve">patient_key</w:t>
      </w:r>
      <w:r>
        <w:rPr>
          <w:rFonts w:ascii="Calibri" w:cs="Calibri" w:eastAsia="Calibri" w:hAnsi="Calibri"/>
          <w:sz w:val="17"/>
          <w:szCs w:val="17"/>
        </w:rPr>
        <w:t xml:space="preserve"> returning within 30 days, which is why every stay of every patient is needed, with planned admissions, deaths and transfers marked. A discharge can be sent as </w:t>
      </w:r>
      <w:r>
        <w:rPr>
          <w:rFonts w:ascii="Calibri" w:cs="Calibri" w:eastAsia="Calibri" w:hAnsi="Calibri"/>
          <w:b/>
          <w:bCs/>
          <w:sz w:val="17"/>
          <w:szCs w:val="17"/>
        </w:rPr>
        <w:t xml:space="preserve">provisional</w:t>
      </w:r>
      <w:r>
        <w:rPr>
          <w:rFonts w:ascii="Calibri" w:cs="Calibri" w:eastAsia="Calibri" w:hAnsi="Calibri"/>
          <w:sz w:val="17"/>
          <w:szCs w:val="17"/>
        </w:rPr>
        <w:t xml:space="preserve"> on the day and again as </w:t>
      </w:r>
      <w:r>
        <w:rPr>
          <w:rFonts w:ascii="Calibri" w:cs="Calibri" w:eastAsia="Calibri" w:hAnsi="Calibri"/>
          <w:b/>
          <w:bCs/>
          <w:sz w:val="17"/>
          <w:szCs w:val="17"/>
        </w:rPr>
        <w:t xml:space="preserve">final</w:t>
      </w:r>
      <w:r>
        <w:rPr>
          <w:rFonts w:ascii="Calibri" w:cs="Calibri" w:eastAsia="Calibri" w:hAnsi="Calibri"/>
          <w:sz w:val="17"/>
          <w:szCs w:val="17"/>
        </w:rPr>
        <w:t xml:space="preserve"> once coding is complete. Free-text notes are not needed.</w:t>
      </w:r>
    </w:p>
    <w:p>
      <w:pPr>
        <w:pStyle w:val="Heading2"/>
        <w:pBdr>
          <w:bottom w:val="single" w:color="2FB596" w:sz="6" w:space="1"/>
        </w:pBdr>
        <w:spacing w:after="40" w:before="110"/>
      </w:pPr>
      <w:r>
        <w:rPr>
          <w:rFonts w:ascii="Calibri" w:cs="Calibri" w:eastAsia="Calibri" w:hAnsi="Calibri"/>
          <w:b/>
          <w:bCs/>
          <w:color w:val="0E1A33"/>
          <w:sz w:val="21"/>
          <w:szCs w:val="21"/>
        </w:rPr>
        <w:t xml:space="preserve">3. Post-discharge follow-up (weekly monitoring)</w:t>
      </w:r>
    </w:p>
    <w:p>
      <w:pPr>
        <w:spacing w:after="50" w:line="245"/>
      </w:pPr>
      <w:r>
        <w:rPr>
          <w:rFonts w:ascii="Calibri" w:cs="Calibri" w:eastAsia="Calibri" w:hAnsi="Calibri"/>
          <w:sz w:val="17"/>
          <w:szCs w:val="17"/>
        </w:rPr>
        <w:t xml:space="preserve">Please describe the contact that happens after discharge today (calls, home visits, clinic follow-ups, pharmacy refills, home devices): who does it, how often, and where it is recorded. Each check-in is one row of a </w:t>
      </w:r>
      <w:r>
        <w:rPr>
          <w:rFonts w:ascii="Calibri" w:cs="Calibri" w:eastAsia="Calibri" w:hAnsi="Calibri"/>
          <w:b/>
          <w:bCs/>
          <w:sz w:val="17"/>
          <w:szCs w:val="17"/>
        </w:rPr>
        <w:t xml:space="preserve">weeks</w:t>
      </w:r>
      <w:r>
        <w:rPr>
          <w:rFonts w:ascii="Calibri" w:cs="Calibri" w:eastAsia="Calibri" w:hAnsi="Calibri"/>
          <w:sz w:val="17"/>
          <w:szCs w:val="17"/>
        </w:rPr>
        <w:t xml:space="preserve"> file: </w:t>
      </w:r>
      <w:r>
        <w:rPr>
          <w:rFonts w:ascii="Consolas" w:cs="Consolas" w:eastAsia="Consolas" w:hAnsi="Consolas"/>
          <w:color w:val="0E1A33"/>
          <w:sz w:val="16"/>
          <w:szCs w:val="16"/>
        </w:rPr>
        <w:t xml:space="preserve">patient_key</w:t>
      </w:r>
      <w:r>
        <w:rPr>
          <w:rFonts w:ascii="Calibri" w:cs="Calibri" w:eastAsia="Calibri" w:hAnsi="Calibri"/>
          <w:sz w:val="17"/>
          <w:szCs w:val="17"/>
        </w:rPr>
        <w:t xml:space="preserve">, </w:t>
      </w:r>
      <w:r>
        <w:rPr>
          <w:rFonts w:ascii="Consolas" w:cs="Consolas" w:eastAsia="Consolas" w:hAnsi="Consolas"/>
          <w:color w:val="0E1A33"/>
          <w:sz w:val="16"/>
          <w:szCs w:val="16"/>
        </w:rPr>
        <w:t xml:space="preserve">encounter_key</w:t>
      </w:r>
      <w:r>
        <w:rPr>
          <w:rFonts w:ascii="Calibri" w:cs="Calibri" w:eastAsia="Calibri" w:hAnsi="Calibri"/>
          <w:sz w:val="17"/>
          <w:szCs w:val="17"/>
        </w:rPr>
        <w:t xml:space="preserve"> (the discharge it follows), week date, source (device, nurse call, patient app, pharmacy or clinic) and any of these readings: weight or weight change, systolic blood pressure, heart rate, oxygen saturation, temperature, medication adherence, walking distance, pillows needed to sleep, rescue-inhaler uses, refill collected, follow-up attended, ankle swelling, sputum change, wound status, pain trend, antibiotic course, new confusion. Weekly scoring starts from rules agreed with your clinical lead; a weekly model is trained once about 100 readmissions among monitored patients have accumulated.</w:t>
      </w:r>
    </w:p>
    <w:p>
      <w:pPr>
        <w:pStyle w:val="Heading2"/>
        <w:pBdr>
          <w:bottom w:val="single" w:color="2FB596" w:sz="6" w:space="1"/>
        </w:pBdr>
        <w:spacing w:after="40" w:before="110"/>
      </w:pPr>
      <w:r>
        <w:rPr>
          <w:rFonts w:ascii="Calibri" w:cs="Calibri" w:eastAsia="Calibri" w:hAnsi="Calibri"/>
          <w:b/>
          <w:bCs/>
          <w:color w:val="0E1A33"/>
          <w:sz w:val="21"/>
          <w:szCs w:val="21"/>
        </w:rPr>
        <w:t xml:space="preserve">4. How data reaches Preventra</w:t>
      </w:r>
    </w:p>
    <w:p>
      <w:pPr>
        <w:pStyle w:val="ListParagraph"/>
        <w:numPr>
          <w:ilvl w:val="0"/>
          <w:numId w:val="2"/>
        </w:numPr>
        <w:spacing w:after="15" w:line="245"/>
      </w:pPr>
      <w:r>
        <w:rPr>
          <w:rFonts w:ascii="Calibri" w:cs="Calibri" w:eastAsia="Calibri" w:hAnsi="Calibri"/>
          <w:b/>
          <w:bCs/>
          <w:sz w:val="17"/>
          <w:szCs w:val="17"/>
        </w:rPr>
        <w:t xml:space="preserve">Delivery:</w:t>
      </w:r>
      <w:r>
        <w:rPr>
          <w:rFonts w:ascii="Calibri" w:cs="Calibri" w:eastAsia="Calibri" w:hAnsi="Calibri"/>
          <w:sz w:val="17"/>
          <w:szCs w:val="17"/>
        </w:rPr>
        <w:t xml:space="preserve"> a scheduled job on your side (nightly, or more often) sends the files above over HTTPS to the Preventra server inside your network. The same files load the history once, then new discharges and check-ins.</w:t>
      </w:r>
    </w:p>
    <w:p>
      <w:pPr>
        <w:pStyle w:val="ListParagraph"/>
        <w:numPr>
          <w:ilvl w:val="0"/>
          <w:numId w:val="2"/>
        </w:numPr>
        <w:spacing w:after="15" w:line="245"/>
      </w:pPr>
      <w:r>
        <w:rPr>
          <w:rFonts w:ascii="Calibri" w:cs="Calibri" w:eastAsia="Calibri" w:hAnsi="Calibri"/>
          <w:b/>
          <w:bCs/>
          <w:sz w:val="17"/>
          <w:szCs w:val="17"/>
        </w:rPr>
        <w:t xml:space="preserve">Credential:</w:t>
      </w:r>
      <w:r>
        <w:rPr>
          <w:rFonts w:ascii="Calibri" w:cs="Calibri" w:eastAsia="Calibri" w:hAnsi="Calibri"/>
          <w:sz w:val="17"/>
          <w:szCs w:val="17"/>
        </w:rPr>
        <w:t xml:space="preserve"> each clinic gets its own access token, shown once and revocable at any time. The token, not the file, decides which hospital the data belongs to.</w:t>
      </w:r>
    </w:p>
    <w:p>
      <w:pPr>
        <w:pStyle w:val="ListParagraph"/>
        <w:numPr>
          <w:ilvl w:val="0"/>
          <w:numId w:val="2"/>
        </w:numPr>
        <w:spacing w:after="15" w:line="245"/>
      </w:pPr>
      <w:r>
        <w:rPr>
          <w:rFonts w:ascii="Calibri" w:cs="Calibri" w:eastAsia="Calibri" w:hAnsi="Calibri"/>
          <w:b/>
          <w:bCs/>
          <w:sz w:val="17"/>
          <w:szCs w:val="17"/>
        </w:rPr>
        <w:t xml:space="preserve">Checks:</w:t>
      </w:r>
      <w:r>
        <w:rPr>
          <w:rFonts w:ascii="Calibri" w:cs="Calibri" w:eastAsia="Calibri" w:hAnsi="Calibri"/>
          <w:sz w:val="17"/>
          <w:szCs w:val="17"/>
        </w:rPr>
        <w:t xml:space="preserve"> every record is checked on its own; rejected records come back with the reasons while the rest go ahead. Up to 500 discharges or 10 MB per request; accepted discharges are scored within about a minute.</w:t>
      </w:r>
    </w:p>
    <w:p>
      <w:pPr>
        <w:pStyle w:val="ListParagraph"/>
        <w:numPr>
          <w:ilvl w:val="0"/>
          <w:numId w:val="2"/>
        </w:numPr>
        <w:spacing w:after="15" w:line="245"/>
      </w:pPr>
      <w:r>
        <w:rPr>
          <w:rFonts w:ascii="Calibri" w:cs="Calibri" w:eastAsia="Calibri" w:hAnsi="Calibri"/>
          <w:b/>
          <w:bCs/>
          <w:sz w:val="17"/>
          <w:szCs w:val="17"/>
        </w:rPr>
        <w:t xml:space="preserve">Later:</w:t>
      </w:r>
      <w:r>
        <w:rPr>
          <w:rFonts w:ascii="Calibri" w:cs="Calibri" w:eastAsia="Calibri" w:hAnsi="Calibri"/>
          <w:sz w:val="17"/>
          <w:szCs w:val="17"/>
        </w:rPr>
        <w:t xml:space="preserve"> HL7 v2 or FHIR feeds can be converted into the same format; they are not needed for the pilot.</w:t>
      </w:r>
    </w:p>
    <w:p>
      <w:pPr>
        <w:pStyle w:val="Heading2"/>
        <w:pBdr>
          <w:bottom w:val="single" w:color="2FB596" w:sz="6" w:space="1"/>
        </w:pBdr>
        <w:spacing w:after="40" w:before="110"/>
      </w:pPr>
      <w:r>
        <w:rPr>
          <w:rFonts w:ascii="Calibri" w:cs="Calibri" w:eastAsia="Calibri" w:hAnsi="Calibri"/>
          <w:b/>
          <w:bCs/>
          <w:color w:val="0E1A33"/>
          <w:sz w:val="21"/>
          <w:szCs w:val="21"/>
        </w:rPr>
        <w:t xml:space="preserve">5. On-premises infrastructure</w:t>
      </w:r>
    </w:p>
    <w:p>
      <w:pPr>
        <w:spacing w:after="50" w:line="245"/>
      </w:pPr>
      <w:r>
        <w:rPr>
          <w:rFonts w:ascii="Calibri" w:cs="Calibri" w:eastAsia="Calibri" w:hAnsi="Calibri"/>
          <w:sz w:val="17"/>
          <w:szCs w:val="17"/>
        </w:rPr>
        <w:t xml:space="preserve">One server runs the web app, the API, a scoring worker and the database. The risk models run on ordinary processors; only a local AI assistant needs a GPU, which we will agree separately.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306"/>
      </w:tblGrid>
      <w:tr>
        <w:trPr>
          <w:tblHeader/>
        </w:trPr>
        <w:tc>
          <w:tcPr>
            <w:tcW w:type="dxa" w:w="2300"/>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Component</w:t>
            </w:r>
          </w:p>
        </w:tc>
        <w:tc>
          <w:tcPr>
            <w:tcW w:type="dxa" w:w="3700"/>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Minimum</w:t>
            </w:r>
          </w:p>
        </w:tc>
        <w:tc>
          <w:tcPr>
            <w:tcW w:type="dxa" w:w="4306"/>
            <w:tcBorders>
              <w:top w:val="single" w:color="BFBFBF" w:sz="4"/>
              <w:left w:val="single" w:color="BFBFBF" w:sz="4"/>
              <w:bottom w:val="single" w:color="BFBFBF" w:sz="4"/>
              <w:right w:val="single" w:color="BFBFBF" w:sz="4"/>
            </w:tcBorders>
            <w:shd w:fill="0E1A33" w:color="auto" w:val="clear"/>
            <w:tcMar>
              <w:top w:type="dxa" w:w="25"/>
              <w:left w:type="dxa" w:w="70"/>
              <w:bottom w:type="dxa" w:w="25"/>
              <w:right w:type="dxa" w:w="70"/>
            </w:tcMar>
          </w:tcPr>
          <w:p>
            <w:pPr>
              <w:spacing w:after="0" w:line="235"/>
            </w:pPr>
            <w:r>
              <w:rPr>
                <w:rFonts w:ascii="Calibri" w:cs="Calibri" w:eastAsia="Calibri" w:hAnsi="Calibri"/>
                <w:b/>
                <w:bCs/>
                <w:color w:val="FFFFFF"/>
                <w:sz w:val="17"/>
                <w:szCs w:val="17"/>
              </w:rPr>
              <w:t xml:space="preserve">Recommended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Application server</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4 CPU cores, 16 GB RAM, 250 GB SSD</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8 CPU cores, 32 GB RAM, 500 GB SSD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Operating system</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64-bit Linux (Ubuntu 22.04 or 24.04 LTS, or RHEL 9) with Docker Engine and Docker Compose</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Tell us if only Windows Server or Kubernetes is allowed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Database</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MongoDB 7 in a container on the same server</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Separate database server, or tell us if another database is mandated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Network</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HTTPS on the internal network; a route from your export job to the server</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Internal DNS name and TLS certificate; VPN for supervised remote support</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Backups</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Encrypted daily database backup, kept 30 days</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Plus a copy held off the server</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AI assistant (separate)</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None: AI features switched off</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GPU server with 48 to 80 GB GPU memory, 64 GB RAM, 1 TB SSD</w:t>
            </w:r>
          </w:p>
        </w:tc>
      </w:tr>
      <w:tr>
        <w:trPr>
          <w:cantSplit/>
        </w:trPr>
        <w:tc>
          <w:tcPr>
            <w:tcW w:type="dxa" w:w="2300"/>
            <w:tcBorders>
              <w:top w:val="single" w:color="BFBFBF" w:sz="4"/>
              <w:left w:val="single" w:color="BFBFBF" w:sz="4"/>
              <w:bottom w:val="single" w:color="BFBFBF" w:sz="4"/>
              <w:right w:val="single" w:color="BFBFBF" w:sz="4"/>
            </w:tcBorders>
            <w:shd w:fill="E3F6F1" w:color="auto" w:val="clear"/>
            <w:tcMar>
              <w:top w:type="dxa" w:w="25"/>
              <w:left w:type="dxa" w:w="70"/>
              <w:bottom w:type="dxa" w:w="25"/>
              <w:right w:type="dxa" w:w="70"/>
            </w:tcMar>
          </w:tcPr>
          <w:p>
            <w:pPr>
              <w:spacing w:after="0" w:line="235"/>
            </w:pPr>
            <w:r>
              <w:rPr>
                <w:rFonts w:ascii="Calibri" w:cs="Calibri" w:eastAsia="Calibri" w:hAnsi="Calibri"/>
                <w:b/>
                <w:bCs/>
                <w:sz w:val="17"/>
                <w:szCs w:val="17"/>
              </w:rPr>
              <w:t xml:space="preserve">User devices</w:t>
            </w:r>
          </w:p>
        </w:tc>
        <w:tc>
          <w:tcPr>
            <w:tcW w:type="dxa" w:w="3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Current Chrome or Edge on desktop</w:t>
            </w:r>
          </w:p>
        </w:tc>
        <w:tc>
          <w:tcPr>
            <w:tcW w:type="dxa" w:w="43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line="235"/>
            </w:pPr>
            <w:r>
              <w:rPr>
                <w:rFonts w:ascii="Calibri" w:cs="Calibri" w:eastAsia="Calibri" w:hAnsi="Calibri"/>
                <w:sz w:val="17"/>
                <w:szCs w:val="17"/>
              </w:rPr>
              <w:t xml:space="preserve">Tablets for ward rounds</w:t>
            </w:r>
          </w:p>
        </w:tc>
      </w:tr>
    </w:tbl>
    <w:p>
      <w:pPr>
        <w:spacing w:after="40" w:before="50" w:line="245"/>
      </w:pPr>
      <w:r>
        <w:rPr>
          <w:rFonts w:ascii="Calibri" w:cs="Calibri" w:eastAsia="Calibri" w:hAnsi="Calibri"/>
          <w:sz w:val="17"/>
          <w:szCs w:val="17"/>
        </w:rPr>
        <w:t xml:space="preserve">Also tell us: whether the server may reach the internet for updates or must run offline; local accounts or directory sign-in (Active Directory, LDAP, single sign-on); maintenance windows and change control; audit-log retention; and a named IT contact.</w:t>
      </w:r>
    </w:p>
    <w:p>
      <w:pPr>
        <w:pStyle w:val="Heading2"/>
        <w:pBdr>
          <w:bottom w:val="single" w:color="2FB596" w:sz="6" w:space="1"/>
        </w:pBdr>
        <w:spacing w:after="40" w:before="110"/>
      </w:pPr>
      <w:r>
        <w:rPr>
          <w:rFonts w:ascii="Calibri" w:cs="Calibri" w:eastAsia="Calibri" w:hAnsi="Calibri"/>
          <w:b/>
          <w:bCs/>
          <w:color w:val="0E1A33"/>
          <w:sz w:val="21"/>
          <w:szCs w:val="21"/>
        </w:rPr>
        <w:t xml:space="preserve">6. Other information for the models and the interface</w:t>
      </w:r>
    </w:p>
    <w:p>
      <w:pPr>
        <w:pStyle w:val="ListParagraph"/>
        <w:numPr>
          <w:ilvl w:val="0"/>
          <w:numId w:val="2"/>
        </w:numPr>
        <w:spacing w:after="15" w:line="245"/>
      </w:pPr>
      <w:r>
        <w:rPr>
          <w:rFonts w:ascii="Calibri" w:cs="Calibri" w:eastAsia="Calibri" w:hAnsi="Calibri"/>
          <w:b/>
          <w:bCs/>
          <w:sz w:val="17"/>
          <w:szCs w:val="17"/>
        </w:rPr>
        <w:t xml:space="preserve">Scope and users:</w:t>
      </w:r>
      <w:r>
        <w:rPr>
          <w:rFonts w:ascii="Calibri" w:cs="Calibri" w:eastAsia="Calibri" w:hAnsi="Calibri"/>
          <w:sz w:val="17"/>
          <w:szCs w:val="17"/>
        </w:rPr>
        <w:t xml:space="preserve"> pilot departments; a staff list with roles (doctor, nurse, case manager, administrator) for accounts and patient assignment.</w:t>
      </w:r>
    </w:p>
    <w:p>
      <w:pPr>
        <w:pStyle w:val="ListParagraph"/>
        <w:numPr>
          <w:ilvl w:val="0"/>
          <w:numId w:val="2"/>
        </w:numPr>
        <w:spacing w:after="15" w:line="245"/>
      </w:pPr>
      <w:r>
        <w:rPr>
          <w:rFonts w:ascii="Calibri" w:cs="Calibri" w:eastAsia="Calibri" w:hAnsi="Calibri"/>
          <w:b/>
          <w:bCs/>
          <w:sz w:val="17"/>
          <w:szCs w:val="17"/>
        </w:rPr>
        <w:t xml:space="preserve">Workflow and capacity:</w:t>
      </w:r>
      <w:r>
        <w:rPr>
          <w:rFonts w:ascii="Calibri" w:cs="Calibri" w:eastAsia="Calibri" w:hAnsi="Calibri"/>
          <w:sz w:val="17"/>
          <w:szCs w:val="17"/>
        </w:rPr>
        <w:t xml:space="preserve"> what happens when a patient is flagged high risk and who does it; how many patients staff can follow up each week, which sets how many are placed in the High band.</w:t>
      </w:r>
    </w:p>
    <w:p>
      <w:pPr>
        <w:pStyle w:val="ListParagraph"/>
        <w:numPr>
          <w:ilvl w:val="0"/>
          <w:numId w:val="2"/>
        </w:numPr>
        <w:spacing w:after="15" w:line="245"/>
      </w:pPr>
      <w:r>
        <w:rPr>
          <w:rFonts w:ascii="Calibri" w:cs="Calibri" w:eastAsia="Calibri" w:hAnsi="Calibri"/>
          <w:b/>
          <w:bCs/>
          <w:sz w:val="17"/>
          <w:szCs w:val="17"/>
        </w:rPr>
        <w:t xml:space="preserve">Local conventions:</w:t>
      </w:r>
      <w:r>
        <w:rPr>
          <w:rFonts w:ascii="Calibri" w:cs="Calibri" w:eastAsia="Calibri" w:hAnsi="Calibri"/>
          <w:sz w:val="17"/>
          <w:szCs w:val="17"/>
        </w:rPr>
        <w:t xml:space="preserve"> interface language, date format, devices and network quality on wards.</w:t>
      </w:r>
    </w:p>
    <w:p>
      <w:pPr>
        <w:pStyle w:val="ListParagraph"/>
        <w:numPr>
          <w:ilvl w:val="0"/>
          <w:numId w:val="2"/>
        </w:numPr>
        <w:spacing w:after="15" w:line="245"/>
      </w:pPr>
      <w:r>
        <w:rPr>
          <w:rFonts w:ascii="Calibri" w:cs="Calibri" w:eastAsia="Calibri" w:hAnsi="Calibri"/>
          <w:b/>
          <w:bCs/>
          <w:sz w:val="17"/>
          <w:szCs w:val="17"/>
        </w:rPr>
        <w:t xml:space="preserve">Clinical lead and baseline:</w:t>
      </w:r>
      <w:r>
        <w:rPr>
          <w:rFonts w:ascii="Calibri" w:cs="Calibri" w:eastAsia="Calibri" w:hAnsi="Calibri"/>
          <w:sz w:val="17"/>
          <w:szCs w:val="17"/>
        </w:rPr>
        <w:t xml:space="preserve"> a named doctor and nurse to approve rules and thresholds; any risk score already used (for example LACE); current 30-day readmission and follow-up rates.</w:t>
      </w:r>
    </w:p>
    <w:p>
      <w:pPr>
        <w:pStyle w:val="ListParagraph"/>
        <w:numPr>
          <w:ilvl w:val="0"/>
          <w:numId w:val="2"/>
        </w:numPr>
        <w:spacing w:after="15" w:line="245"/>
      </w:pPr>
      <w:r>
        <w:rPr>
          <w:rFonts w:ascii="Calibri" w:cs="Calibri" w:eastAsia="Calibri" w:hAnsi="Calibri"/>
          <w:b/>
          <w:bCs/>
          <w:sz w:val="17"/>
          <w:szCs w:val="17"/>
        </w:rPr>
        <w:t xml:space="preserve">Governance, before any data is shared:</w:t>
      </w:r>
      <w:r>
        <w:rPr>
          <w:rFonts w:ascii="Calibri" w:cs="Calibri" w:eastAsia="Calibri" w:hAnsi="Calibri"/>
          <w:sz w:val="17"/>
          <w:szCs w:val="17"/>
        </w:rPr>
        <w:t xml:space="preserve"> a data-sharing agreement, ethics or institutional approval where required, de-identification by your team, and agreed access for ours. Preventra is decision support; clinicians make every care decision.</w:t>
      </w:r>
    </w:p>
    <w:sectPr>
      <w:pgSz w:w="11906" w:h="16838" w:orient="portrait"/>
      <w:pgMar w:top="640" w:right="800" w:bottom="64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190"/>
      </w:pPr>
      <w:rPr>
        <w:color w:val="2FB59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f0f4e8c4ea870c726ca2e72db4697740aeff11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2026-10-15T06:41:37.464Z</dcterms:created>
  <dcterms:modified xsi:type="dcterms:W3CDTF">2026-10-15T06:41:37.464Z</dcterms:modified>
</cp:coreProperties>
</file>

<file path=docProps/custom.xml><?xml version="1.0" encoding="utf-8"?>
<Properties xmlns="http://schemas.openxmlformats.org/officeDocument/2006/custom-properties" xmlns:vt="http://schemas.openxmlformats.org/officeDocument/2006/docPropsVTypes"/>
</file>