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package/2006/relationships/metadata/thumbnail" Target="docProps/thumbnail.jpeg"/></Relationships>
</file>

<file path=word/document.xml><?xml version="1.0" encoding="utf-8"?>
<w:document xmlns:w="http://schemas.openxmlformats.org/wordprocessingml/2006/main" xmlns:o="urn:schemas-microsoft-com:office:office" xmlns:r="http://schemas.openxmlformats.org/officeDocument/2006/relationships" xmlns:m="http://schemas.openxmlformats.org/officeDocument/2006/math" xmlns:v="urn:schemas-microsoft-com:vml" xmlns:a="http://schemas.openxmlformats.org/drawingml/2006/main" xmlns:wps="http://schemas.microsoft.com/office/word/2010/wordprocessingShape" xmlns:wp="http://schemas.openxmlformats.org/drawingml/2006/wordprocessingDrawing" xmlns:pic="http://schemas.openxmlformats.org/drawingml/2006/picture" xmlns:mc="http://schemas.openxmlformats.org/markup-compatibility/2006" xmlns:wpg="http://schemas.microsoft.com/office/word/2010/wordprocessingGroup" xmlns:wpc="http://schemas.microsoft.com/office/word/2010/wordprocessingCanvas" xmlns:w10="urn:schemas-microsoft-com:office:word" xmlns:w14="http://schemas.microsoft.com/office/word/2010/wordml" xmlns:a14="http://schemas.microsoft.com/office/drawing/2010/main" mc:Ignorable="w14">
  <w:body>
    <w:p>
      <w:pPr>
        <w:spacing w:after="400"/>
        <w:jc w:val="center"/>
        <w:rPr>
          <w:b/>
        </w:rPr>
      </w:pPr>
      <w:r>
        <w:rPr>
          <w:b/>
        </w:rPr>
        <w:t>A Világ Összes Országa Kontinensek Szerint</w:t>
      </w:r>
    </w:p>
    <w:p>
      <w:pPr>
        <w:spacing w:after="400"/>
        <w:jc w:val="center"/>
      </w:pPr>
    </w:p>
    <w:p>
      <w:pPr>
        <w:pageBreakBefore/>
        <w:spacing w:before="280" w:after="120"/>
      </w:pPr>
      <w:r>
        <w:rPr>
          <w:b/>
        </w:rPr>
        <w:t>Ázsia (17 ország)</w:t>
      </w:r>
    </w:p>
    <w:p>
      <w:pPr>
        <w:spacing w:after="40"/>
        <w:ind w:left="360"/>
      </w:pPr>
      <w:r>
        <w:t>1. Bahrein</w:t>
      </w:r>
    </w:p>
    <w:p>
      <w:pPr>
        <w:spacing w:after="40"/>
        <w:ind w:left="360"/>
      </w:pPr>
      <w:r>
        <w:t>2. Brunei</w:t>
      </w:r>
    </w:p>
    <w:p>
      <w:pPr>
        <w:spacing w:after="40"/>
        <w:ind w:left="360"/>
      </w:pPr>
      <w:r>
        <w:t>3. Dél-Korea</w:t>
      </w:r>
    </w:p>
    <w:p>
      <w:pPr>
        <w:spacing w:after="40"/>
        <w:ind w:left="360"/>
      </w:pPr>
      <w:r>
        <w:t>4. Egyesült Arab Emírségek</w:t>
      </w:r>
    </w:p>
    <w:p>
      <w:pPr>
        <w:spacing w:after="40"/>
        <w:ind w:left="360"/>
      </w:pPr>
      <w:r>
        <w:t>5. Fülöp-szigetek</w:t>
      </w:r>
    </w:p>
    <w:p>
      <w:pPr>
        <w:spacing w:after="40"/>
        <w:ind w:left="360"/>
      </w:pPr>
      <w:r>
        <w:t>6. India</w:t>
      </w:r>
    </w:p>
    <w:p>
      <w:pPr>
        <w:spacing w:after="40"/>
        <w:ind w:left="360"/>
      </w:pPr>
      <w:r>
        <w:t>7. Indonézia</w:t>
      </w:r>
    </w:p>
    <w:p>
      <w:pPr>
        <w:spacing w:after="40"/>
        <w:ind w:left="360"/>
      </w:pPr>
      <w:r>
        <w:t>8. Japán</w:t>
      </w:r>
    </w:p>
    <w:p>
      <w:pPr>
        <w:spacing w:after="40"/>
        <w:ind w:left="360"/>
      </w:pPr>
      <w:r>
        <w:t>9. Katar</w:t>
      </w:r>
    </w:p>
    <w:p>
      <w:pPr>
        <w:spacing w:after="40"/>
        <w:ind w:left="360"/>
      </w:pPr>
      <w:r>
        <w:t>10. Kína</w:t>
      </w:r>
    </w:p>
    <w:p>
      <w:pPr>
        <w:spacing w:after="40"/>
        <w:ind w:left="360"/>
      </w:pPr>
      <w:r>
        <w:t>11. Kuvait</w:t>
      </w:r>
    </w:p>
    <w:p>
      <w:pPr>
        <w:spacing w:after="40"/>
        <w:ind w:left="360"/>
      </w:pPr>
      <w:r>
        <w:t>12. Malajzia</w:t>
      </w:r>
    </w:p>
    <w:p>
      <w:pPr>
        <w:spacing w:after="40"/>
        <w:ind w:left="360"/>
      </w:pPr>
      <w:r>
        <w:t>13. Oroszország</w:t>
      </w:r>
    </w:p>
    <w:p>
      <w:pPr>
        <w:spacing w:after="40"/>
        <w:ind w:left="360"/>
      </w:pPr>
      <w:r>
        <w:t>14. Pakisztán</w:t>
      </w:r>
    </w:p>
    <w:p>
      <w:pPr>
        <w:spacing w:after="40"/>
        <w:ind w:left="360"/>
      </w:pPr>
      <w:r>
        <w:t>15. Szaúd-Arábia</w:t>
      </w:r>
    </w:p>
    <w:p>
      <w:pPr>
        <w:spacing w:after="40"/>
        <w:ind w:left="360"/>
      </w:pPr>
      <w:r>
        <w:t>16. Szingapúr</w:t>
      </w:r>
    </w:p>
    <w:p>
      <w:pPr>
        <w:spacing w:after="40"/>
        <w:ind w:left="360"/>
      </w:pPr>
      <w:r>
        <w:t>17. Törökország</w:t>
      </w:r>
    </w:p>
    <w:p>
      <w:pPr>
        <w:pageBreakBefore/>
        <w:spacing w:before="280" w:after="120"/>
      </w:pPr>
      <w:r>
        <w:rPr>
          <w:b/>
        </w:rPr>
        <w:t>Európa (31 ország)</w:t>
      </w:r>
    </w:p>
    <w:p>
      <w:pPr>
        <w:spacing w:after="40"/>
        <w:ind w:left="360"/>
      </w:pPr>
      <w:r>
        <w:t>1. Ausztria</w:t>
      </w:r>
    </w:p>
    <w:p>
      <w:pPr>
        <w:spacing w:after="40"/>
        <w:ind w:left="360"/>
      </w:pPr>
      <w:r>
        <w:t>2. Belgium</w:t>
      </w:r>
    </w:p>
    <w:p>
      <w:pPr>
        <w:spacing w:after="40"/>
        <w:ind w:left="360"/>
      </w:pPr>
      <w:r>
        <w:t>3. Bulgária</w:t>
      </w:r>
    </w:p>
    <w:p>
      <w:pPr>
        <w:spacing w:after="40"/>
        <w:ind w:left="360"/>
      </w:pPr>
      <w:r>
        <w:t>4. Csehország</w:t>
      </w:r>
    </w:p>
    <w:p>
      <w:pPr>
        <w:spacing w:after="40"/>
        <w:ind w:left="360"/>
      </w:pPr>
      <w:r>
        <w:t>5. Dánia</w:t>
      </w:r>
    </w:p>
    <w:p>
      <w:pPr>
        <w:spacing w:after="40"/>
        <w:ind w:left="360"/>
      </w:pPr>
      <w:r>
        <w:t>6. Egyesült Királyság</w:t>
      </w:r>
    </w:p>
    <w:p>
      <w:pPr>
        <w:spacing w:after="40"/>
        <w:ind w:left="360"/>
      </w:pPr>
      <w:r>
        <w:t>7. Fehéroroszország (Belarusz)</w:t>
      </w:r>
    </w:p>
    <w:p>
      <w:pPr>
        <w:spacing w:after="40"/>
        <w:ind w:left="360"/>
      </w:pPr>
      <w:r>
        <w:t>8. Finnország</w:t>
      </w:r>
    </w:p>
    <w:p>
      <w:pPr>
        <w:spacing w:after="40"/>
        <w:ind w:left="360"/>
      </w:pPr>
      <w:r>
        <w:t>9. Franciaország</w:t>
      </w:r>
    </w:p>
    <w:p>
      <w:pPr>
        <w:spacing w:after="40"/>
        <w:ind w:left="360"/>
      </w:pPr>
      <w:r>
        <w:t>10. Görögország</w:t>
      </w:r>
    </w:p>
    <w:p>
      <w:pPr>
        <w:spacing w:after="40"/>
        <w:ind w:left="360"/>
      </w:pPr>
      <w:r>
        <w:t>11. Hollandia</w:t>
      </w:r>
    </w:p>
    <w:p>
      <w:pPr>
        <w:spacing w:after="40"/>
        <w:ind w:left="360"/>
      </w:pPr>
      <w:r>
        <w:t>12. Horvátország</w:t>
      </w:r>
    </w:p>
    <w:p>
      <w:pPr>
        <w:spacing w:after="40"/>
        <w:ind w:left="360"/>
      </w:pPr>
      <w:r>
        <w:t>13. Írország</w:t>
      </w:r>
    </w:p>
    <w:p>
      <w:pPr>
        <w:spacing w:after="40"/>
        <w:ind w:left="360"/>
      </w:pPr>
      <w:r>
        <w:t>14. Izland</w:t>
      </w:r>
    </w:p>
    <w:p>
      <w:pPr>
        <w:spacing w:after="40"/>
        <w:ind w:left="360"/>
      </w:pPr>
      <w:r>
        <w:t>15. Lengyelország</w:t>
      </w:r>
    </w:p>
    <w:p>
      <w:pPr>
        <w:spacing w:after="40"/>
        <w:ind w:left="360"/>
      </w:pPr>
      <w:r>
        <w:t>16. Lettország</w:t>
      </w:r>
    </w:p>
    <w:p>
      <w:pPr>
        <w:spacing w:after="40"/>
        <w:ind w:left="360"/>
      </w:pPr>
      <w:r>
        <w:t>17. Litvánia</w:t>
      </w:r>
    </w:p>
    <w:p>
      <w:pPr>
        <w:spacing w:after="40"/>
        <w:ind w:left="360"/>
      </w:pPr>
      <w:r>
        <w:t>18. Málta</w:t>
      </w:r>
    </w:p>
    <w:p>
      <w:pPr>
        <w:spacing w:after="40"/>
        <w:ind w:left="360"/>
      </w:pPr>
      <w:r>
        <w:t>19. Németország</w:t>
      </w:r>
    </w:p>
    <w:p>
      <w:pPr>
        <w:spacing w:after="40"/>
        <w:ind w:left="360"/>
      </w:pPr>
      <w:r>
        <w:t>20. Norvégia</w:t>
      </w:r>
    </w:p>
    <w:p>
      <w:pPr>
        <w:spacing w:after="40"/>
        <w:ind w:left="360"/>
      </w:pPr>
      <w:r>
        <w:t>21. Olaszország</w:t>
      </w:r>
    </w:p>
    <w:p>
      <w:pPr>
        <w:spacing w:after="40"/>
        <w:ind w:left="360"/>
      </w:pPr>
      <w:r>
        <w:t>22. Portugália</w:t>
      </w:r>
    </w:p>
    <w:p>
      <w:pPr>
        <w:spacing w:after="40"/>
        <w:ind w:left="360"/>
      </w:pPr>
      <w:r>
        <w:t>23. Románia</w:t>
      </w:r>
    </w:p>
    <w:p>
      <w:pPr>
        <w:spacing w:after="40"/>
        <w:ind w:left="360"/>
      </w:pPr>
      <w:r>
        <w:t>24. Spanyolország</w:t>
      </w:r>
    </w:p>
    <w:p>
      <w:pPr>
        <w:spacing w:after="40"/>
        <w:ind w:left="360"/>
      </w:pPr>
      <w:r>
        <w:t>25. Svájc</w:t>
      </w:r>
    </w:p>
    <w:p>
      <w:pPr>
        <w:spacing w:after="40"/>
        <w:ind w:left="360"/>
      </w:pPr>
      <w:r>
        <w:t>26. Svédország</w:t>
      </w:r>
    </w:p>
    <w:p>
      <w:pPr>
        <w:spacing w:after="40"/>
        <w:ind w:left="360"/>
      </w:pPr>
      <w:r>
        <w:t>27. Szerbia</w:t>
      </w:r>
    </w:p>
    <w:p>
      <w:pPr>
        <w:spacing w:after="40"/>
        <w:ind w:left="360"/>
      </w:pPr>
      <w:r>
        <w:t>28. Szlovákia</w:t>
      </w:r>
    </w:p>
    <w:p>
      <w:pPr>
        <w:spacing w:after="40"/>
        <w:ind w:left="360"/>
      </w:pPr>
      <w:r>
        <w:t>29. Szlovénia</w:t>
      </w:r>
    </w:p>
    <w:p>
      <w:pPr>
        <w:spacing w:after="40"/>
        <w:ind w:left="360"/>
      </w:pPr>
      <w:r>
        <w:t>30. Ukrajna</w:t>
      </w:r>
    </w:p>
    <w:p>
      <w:pPr>
        <w:spacing w:after="40"/>
        <w:ind w:left="360"/>
      </w:pPr>
      <w:r>
        <w:t>31. Magyarország</w:t>
      </w:r>
    </w:p>
    <w:p>
      <w:pPr>
        <w:pageBreakBefore/>
        <w:spacing w:before="280" w:after="120"/>
      </w:pPr>
      <w:r>
        <w:rPr>
          <w:b/>
        </w:rPr>
        <w:t>Észak-Amerika (6 ország)</w:t>
      </w:r>
    </w:p>
    <w:p>
      <w:pPr>
        <w:spacing w:after="40"/>
        <w:ind w:left="360"/>
      </w:pPr>
      <w:r>
        <w:t>1. Egyesült Államok (USA)</w:t>
      </w:r>
    </w:p>
    <w:p>
      <w:pPr>
        <w:spacing w:after="40"/>
        <w:ind w:left="360"/>
      </w:pPr>
      <w:r>
        <w:t>2. Jamaica</w:t>
      </w:r>
    </w:p>
    <w:p>
      <w:pPr>
        <w:spacing w:after="40"/>
        <w:ind w:left="360"/>
      </w:pPr>
      <w:r>
        <w:t>3. Kanada</w:t>
      </w:r>
    </w:p>
    <w:p>
      <w:pPr>
        <w:spacing w:after="40"/>
        <w:ind w:left="360"/>
      </w:pPr>
      <w:r>
        <w:t>4. Kuba</w:t>
      </w:r>
    </w:p>
    <w:p>
      <w:pPr>
        <w:spacing w:after="40"/>
        <w:ind w:left="360"/>
      </w:pPr>
      <w:r>
        <w:t>5. Mexikó</w:t>
      </w:r>
    </w:p>
    <w:p>
      <w:pPr>
        <w:spacing w:after="40"/>
        <w:ind w:left="360"/>
      </w:pPr>
      <w:r>
        <w:t>6. Panama</w:t>
      </w:r>
    </w:p>
    <w:p>
      <w:pPr>
        <w:spacing w:after="40"/>
        <w:ind w:left="360"/>
      </w:pPr>
      <w:bookmarkStart w:id="0" w:name="_GoBack"/>
      <w:bookmarkEnd w:id="0"/>
    </w:p>
    <w:p>
      <w:pPr>
        <w:spacing w:after="40"/>
        <w:ind w:left="360"/>
      </w:pPr>
    </w:p>
    <w:sectPr>
      <w:pgSz w:w="12240" w:h="15840"/>
      <w:pgMar w:top="1440" w:right="1800" w:bottom="1440" w:left="1800" w:header="720" w:footer="720" w:gutter="0"/>
      <w:docGrid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panose1 w:val="00000000000000000000"/>
    <w:charset w:val="00"/>
    <w:family w:val="auto"/>
    <w:pitch w:val="variable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明朝">
    <w:altName w:val="Droid Sans"/>
    <w:panose1 w:val="00000000000000000000"/>
    <w:charset w:val="00"/>
    <w:family w:val="auto"/>
    <w:pitch w:val="variable"/>
    <w:sig w:usb0="00000000" w:usb1="00000000" w:usb2="00000000" w:usb3="00000000" w:csb0="0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ＭＳ ゴシック">
    <w:altName w:val="Droid Sans"/>
    <w:panose1 w:val="00000000000000000000"/>
    <w:charset w:val="00"/>
    <w:family w:val="auto"/>
    <w:pitch w:val="variable"/>
    <w:sig w:usb0="00000000" w:usb1="00000000" w:usb2="00000000" w:usb3="00000000" w:csb0="0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ourier">
    <w:altName w:val="Courier New"/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m="http://schemas.openxmlformats.org/officeDocument/2006/math" xmlns:v="urn:schemas-microsoft-com:vml" xmlns:mc="http://schemas.openxmlformats.org/markup-compatibility/2006" xmlns:w14="http://schemas.microsoft.com/office/word/2010/wordml">
  <w:abstractNum w:abstractNumId="0">
    <w:multiLevelType w:val="singleLevel"/>
    <w:tmpl w:val="29761A62"/>
    <w:lvl w:ilvl="0">
      <w:start w:val="1"/>
      <w:numFmt w:val="bullet"/>
      <w:lvlRestart w:val="0"/>
      <w:pStyle w:val="27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>
    <w:multiLevelType w:val="singleLevel"/>
    <w:tmpl w:val="3D1EFFD4"/>
    <w:lvl w:ilvl="0">
      <w:start w:val="1"/>
      <w:numFmt w:val="bullet"/>
      <w:lvlRestart w:val="0"/>
      <w:pStyle w:val="28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2">
    <w:multiLevelType w:val="singleLevel"/>
    <w:tmpl w:val="F3EAFDEC"/>
    <w:lvl w:ilvl="0">
      <w:start w:val="1"/>
      <w:numFmt w:val="bullet"/>
      <w:lvlRestart w:val="0"/>
      <w:pStyle w:val="29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>
    <w:multiLevelType w:val="singleLevel"/>
    <w:tmpl w:val="D0A62B40"/>
    <w:lvl w:ilvl="0">
      <w:start w:val="1"/>
      <w:numFmt w:val="decimal"/>
      <w:lvlRestart w:val="0"/>
      <w:pStyle w:val="30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>
    <w:multiLevelType w:val="singleLevel"/>
    <w:tmpl w:val="38441652"/>
    <w:lvl w:ilvl="0">
      <w:start w:val="1"/>
      <w:numFmt w:val="decimal"/>
      <w:lvlRestart w:val="0"/>
      <w:pStyle w:val="31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>
    <w:multiLevelType w:val="singleLevel"/>
    <w:tmpl w:val="FB12693A"/>
    <w:lvl w:ilvl="0">
      <w:start w:val="1"/>
      <w:numFmt w:val="decimal"/>
      <w:lvlRestart w:val="0"/>
      <w:pStyle w:val="32"/>
      <w:lvlText w:val="%1."/>
      <w:lvlJc w:val="left"/>
      <w:pPr>
        <w:tabs>
          <w:tab w:val="num" w:pos="1080"/>
        </w:tabs>
        <w:ind w:left="108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m="http://schemas.openxmlformats.org/officeDocument/2006/math" xmlns:v="urn:schemas-microsoft-com:vml">
  <w:zoom w:percent="235"/>
  <w:bordersDoNotSurroundHeader/>
  <w:bordersDoNotSurroundFooter/>
  <w:defaultTabStop w:val="720"/>
  <w:drawingGridHorizontalSpacing w:val="110"/>
  <w:drawingGridVerticalSpacing w:val="156"/>
  <w:displayHorizontalDrawingGridEvery w:val="0"/>
  <w:displayVerticalDrawingGridEvery w:val="1"/>
  <w:compat>
    <w:spaceForUL/>
    <w:growAutofit/>
    <w:compatSetting w:name="compatibilityMode" w:uri="http://schemas.microsoft.com/office/word" w:val="14"/>
  </w:compat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style w:type="paragraph" w:default="1" w:styleId="0">
    <w:name w:val="Normal"/>
    <w:pPr>
      <w:spacing w:after="200" w:line="276" w:lineRule="auto"/>
    </w:pPr>
    <w:rPr>
      <w:rFonts w:ascii="Arial" w:eastAsia="ＭＳ 明朝" w:cs="Arial" w:hAnsi="Arial"/>
      <w:sz w:val="22"/>
      <w:szCs w:val="22"/>
      <w:lang w:val="en-US" w:eastAsia="en-US" w:bidi="ar-SA"/>
    </w:rPr>
  </w:style>
  <w:style w:type="paragraph" w:styleId="1">
    <w:name w:val="heading 1"/>
    <w:basedOn w:val="0"/>
    <w:next w:val="0"/>
    <w:pPr>
      <w:keepNext/>
      <w:keepLines/>
      <w:spacing w:before="480" w:after="0"/>
      <w:outlineLvl w:val="0"/>
    </w:pPr>
    <w:rPr>
      <w:rFonts w:ascii="Calibri" w:eastAsia="ＭＳ ゴシック" w:cs="Times New Roman" w:hAnsi="Calibri"/>
      <w:b/>
      <w:bCs/>
      <w:color w:val="365F91"/>
      <w:sz w:val="28"/>
      <w:szCs w:val="28"/>
    </w:rPr>
  </w:style>
  <w:style w:type="paragraph" w:styleId="2">
    <w:name w:val="heading 2"/>
    <w:basedOn w:val="0"/>
    <w:next w:val="0"/>
    <w:pPr>
      <w:keepNext/>
      <w:keepLines/>
      <w:spacing w:before="200" w:after="0"/>
      <w:outlineLvl w:val="1"/>
    </w:pPr>
    <w:rPr>
      <w:rFonts w:ascii="Calibri" w:eastAsia="ＭＳ ゴシック" w:cs="Times New Roman" w:hAnsi="Calibri"/>
      <w:b/>
      <w:bCs/>
      <w:color w:val="4F81BD"/>
      <w:sz w:val="26"/>
      <w:szCs w:val="26"/>
    </w:rPr>
  </w:style>
  <w:style w:type="paragraph" w:styleId="3">
    <w:name w:val="heading 3"/>
    <w:basedOn w:val="0"/>
    <w:next w:val="0"/>
    <w:pPr>
      <w:keepNext/>
      <w:keepLines/>
      <w:spacing w:before="200" w:after="0"/>
      <w:outlineLvl w:val="2"/>
    </w:pPr>
    <w:rPr>
      <w:rFonts w:ascii="Calibri" w:eastAsia="ＭＳ ゴシック" w:cs="Times New Roman" w:hAnsi="Calibri"/>
      <w:b/>
      <w:bCs/>
      <w:color w:val="4F81BD"/>
    </w:rPr>
  </w:style>
  <w:style w:type="paragraph" w:styleId="4">
    <w:name w:val="heading 4"/>
    <w:basedOn w:val="0"/>
    <w:next w:val="0"/>
    <w:pPr>
      <w:keepNext/>
      <w:keepLines/>
      <w:spacing w:before="200" w:after="0"/>
      <w:outlineLvl w:val="3"/>
    </w:pPr>
    <w:rPr>
      <w:rFonts w:ascii="Calibri" w:eastAsia="ＭＳ ゴシック" w:cs="Times New Roman" w:hAnsi="Calibri"/>
      <w:b/>
      <w:bCs/>
      <w:i/>
      <w:iCs/>
      <w:color w:val="4F81BD"/>
    </w:rPr>
  </w:style>
  <w:style w:type="paragraph" w:styleId="5">
    <w:name w:val="heading 5"/>
    <w:basedOn w:val="0"/>
    <w:next w:val="0"/>
    <w:pPr>
      <w:keepNext/>
      <w:keepLines/>
      <w:spacing w:before="200" w:after="0"/>
      <w:outlineLvl w:val="4"/>
    </w:pPr>
    <w:rPr>
      <w:rFonts w:ascii="Calibri" w:eastAsia="ＭＳ ゴシック" w:cs="Times New Roman" w:hAnsi="Calibri"/>
      <w:color w:val="243F60"/>
    </w:rPr>
  </w:style>
  <w:style w:type="paragraph" w:styleId="6">
    <w:name w:val="heading 6"/>
    <w:basedOn w:val="0"/>
    <w:next w:val="0"/>
    <w:pPr>
      <w:keepNext/>
      <w:keepLines/>
      <w:spacing w:before="200" w:after="0"/>
      <w:outlineLvl w:val="5"/>
    </w:pPr>
    <w:rPr>
      <w:rFonts w:ascii="Calibri" w:eastAsia="ＭＳ ゴシック" w:cs="Times New Roman" w:hAnsi="Calibri"/>
      <w:i/>
      <w:iCs/>
      <w:color w:val="243F60"/>
    </w:rPr>
  </w:style>
  <w:style w:type="paragraph" w:styleId="7">
    <w:name w:val="heading 7"/>
    <w:basedOn w:val="0"/>
    <w:next w:val="0"/>
    <w:pPr>
      <w:keepNext/>
      <w:keepLines/>
      <w:spacing w:before="200" w:after="0"/>
      <w:outlineLvl w:val="6"/>
    </w:pPr>
    <w:rPr>
      <w:rFonts w:ascii="Calibri" w:eastAsia="ＭＳ ゴシック" w:cs="Times New Roman" w:hAnsi="Calibri"/>
      <w:i/>
      <w:iCs/>
      <w:color w:val="404040"/>
    </w:rPr>
  </w:style>
  <w:style w:type="paragraph" w:styleId="8">
    <w:name w:val="heading 8"/>
    <w:basedOn w:val="0"/>
    <w:next w:val="0"/>
    <w:pPr>
      <w:keepNext/>
      <w:keepLines/>
      <w:spacing w:before="200" w:after="0"/>
      <w:outlineLvl w:val="7"/>
    </w:pPr>
    <w:rPr>
      <w:rFonts w:ascii="Calibri" w:eastAsia="ＭＳ ゴシック" w:cs="Times New Roman" w:hAnsi="Calibri"/>
      <w:color w:val="4F81BD"/>
      <w:sz w:val="20"/>
      <w:szCs w:val="20"/>
    </w:rPr>
  </w:style>
  <w:style w:type="paragraph" w:styleId="9">
    <w:name w:val="heading 9"/>
    <w:basedOn w:val="0"/>
    <w:next w:val="0"/>
    <w:pPr>
      <w:keepNext/>
      <w:keepLines/>
      <w:spacing w:before="200" w:after="0"/>
      <w:outlineLvl w:val="8"/>
    </w:pPr>
    <w:rPr>
      <w:rFonts w:ascii="Calibri" w:eastAsia="ＭＳ ゴシック" w:cs="Times New Roman" w:hAnsi="Calibri"/>
      <w:i/>
      <w:iCs/>
      <w:color w:val="404040"/>
      <w:sz w:val="20"/>
      <w:szCs w:val="20"/>
    </w:rPr>
  </w:style>
  <w:style w:type="character" w:default="1" w:styleId="10">
    <w:name w:val="Default Paragraph Font"/>
  </w:style>
  <w:style w:type="paragraph" w:styleId="15">
    <w:name w:val="header"/>
    <w:basedOn w:val="0"/>
    <w:pPr>
      <w:tabs>
        <w:tab w:val="center" w:pos="4680"/>
        <w:tab w:val="right" w:pos="9360"/>
      </w:tabs>
      <w:spacing w:after="0" w:line="240" w:lineRule="auto"/>
    </w:pPr>
  </w:style>
  <w:style w:type="paragraph" w:styleId="16">
    <w:name w:val="footer"/>
    <w:basedOn w:val="0"/>
    <w:pPr>
      <w:tabs>
        <w:tab w:val="center" w:pos="4680"/>
        <w:tab w:val="right" w:pos="9360"/>
      </w:tabs>
      <w:spacing w:after="0" w:line="240" w:lineRule="auto"/>
    </w:pPr>
  </w:style>
  <w:style w:type="paragraph" w:customStyle="1" w:styleId="17">
    <w:name w:val="No Spacing"/>
    <w:pPr>
      <w:spacing w:after="0" w:line="240" w:lineRule="auto"/>
    </w:pPr>
    <w:rPr>
      <w:rFonts w:ascii="Cambria" w:eastAsia="ＭＳ 明朝" w:cs="Arial" w:hAnsi="Cambria"/>
      <w:sz w:val="22"/>
      <w:szCs w:val="22"/>
      <w:lang w:val="en-US" w:eastAsia="en-US" w:bidi="ar-SA"/>
    </w:rPr>
  </w:style>
  <w:style w:type="paragraph" w:styleId="18">
    <w:name w:val="Title"/>
    <w:basedOn w:val="0"/>
    <w:next w:val="0"/>
    <w:pPr>
      <w:pBdr>
        <w:bottom w:val="single" w:sz="8" w:space="4" w:color="4F81BD"/>
      </w:pBdr>
      <w:spacing w:after="300" w:line="240" w:lineRule="auto"/>
      <w:contextualSpacing/>
    </w:pPr>
    <w:rPr>
      <w:rFonts w:ascii="Calibri" w:eastAsia="ＭＳ ゴシック" w:cs="Times New Roman" w:hAnsi="Calibri"/>
      <w:color w:val="17365D"/>
      <w:spacing w:val="5"/>
      <w:kern w:val="28"/>
      <w:sz w:val="52"/>
      <w:szCs w:val="52"/>
    </w:rPr>
  </w:style>
  <w:style w:type="paragraph" w:styleId="19">
    <w:name w:val="Subtitle"/>
    <w:basedOn w:val="0"/>
    <w:next w:val="0"/>
    <w:rPr>
      <w:rFonts w:ascii="Calibri" w:eastAsia="ＭＳ ゴシック" w:cs="Times New Roman" w:hAnsi="Calibri"/>
      <w:i/>
      <w:iCs/>
      <w:color w:val="4F81BD"/>
      <w:spacing w:val="15"/>
      <w:sz w:val="24"/>
      <w:szCs w:val="24"/>
    </w:rPr>
  </w:style>
  <w:style w:type="paragraph" w:customStyle="1" w:styleId="20">
    <w:name w:val="List Paragraph"/>
    <w:basedOn w:val="0"/>
    <w:pPr>
      <w:ind w:left="720"/>
      <w:contextualSpacing/>
    </w:pPr>
  </w:style>
  <w:style w:type="paragraph" w:styleId="21">
    <w:name w:val="Body Text"/>
    <w:basedOn w:val="0"/>
    <w:pPr>
      <w:spacing w:after="120"/>
    </w:pPr>
  </w:style>
  <w:style w:type="paragraph" w:styleId="22">
    <w:name w:val="Body Text 2"/>
    <w:basedOn w:val="0"/>
    <w:pPr>
      <w:spacing w:after="120" w:line="480" w:lineRule="auto"/>
    </w:pPr>
  </w:style>
  <w:style w:type="paragraph" w:styleId="23">
    <w:name w:val="Body Text 3"/>
    <w:basedOn w:val="0"/>
    <w:pPr>
      <w:spacing w:after="120"/>
    </w:pPr>
    <w:rPr>
      <w:sz w:val="16"/>
      <w:szCs w:val="16"/>
    </w:rPr>
  </w:style>
  <w:style w:type="paragraph" w:styleId="24">
    <w:name w:val="List"/>
    <w:basedOn w:val="0"/>
    <w:pPr>
      <w:ind w:left="360" w:hanging="360"/>
      <w:contextualSpacing/>
    </w:pPr>
  </w:style>
  <w:style w:type="paragraph" w:styleId="25">
    <w:name w:val="List 2"/>
    <w:basedOn w:val="0"/>
    <w:pPr>
      <w:ind w:left="720" w:hanging="360"/>
      <w:contextualSpacing/>
    </w:pPr>
  </w:style>
  <w:style w:type="paragraph" w:styleId="26">
    <w:name w:val="List 3"/>
    <w:basedOn w:val="0"/>
    <w:pPr>
      <w:ind w:left="1080" w:hanging="360"/>
      <w:contextualSpacing/>
    </w:pPr>
  </w:style>
  <w:style w:type="paragraph" w:styleId="27">
    <w:name w:val="List Bullet"/>
    <w:basedOn w:val="0"/>
    <w:pPr>
      <w:numPr>
        <w:ilvl w:val="0"/>
        <w:numId w:val="1"/>
      </w:numPr>
      <w:contextualSpacing/>
    </w:pPr>
  </w:style>
  <w:style w:type="paragraph" w:styleId="28">
    <w:name w:val="List Bullet 2"/>
    <w:basedOn w:val="0"/>
    <w:pPr>
      <w:numPr>
        <w:ilvl w:val="0"/>
        <w:numId w:val="2"/>
      </w:numPr>
      <w:contextualSpacing/>
    </w:pPr>
  </w:style>
  <w:style w:type="paragraph" w:styleId="29">
    <w:name w:val="List Bullet 3"/>
    <w:basedOn w:val="0"/>
    <w:pPr>
      <w:numPr>
        <w:ilvl w:val="0"/>
        <w:numId w:val="3"/>
      </w:numPr>
      <w:contextualSpacing/>
    </w:pPr>
  </w:style>
  <w:style w:type="paragraph" w:styleId="30">
    <w:name w:val="List Number"/>
    <w:basedOn w:val="0"/>
    <w:pPr>
      <w:numPr>
        <w:ilvl w:val="0"/>
        <w:numId w:val="4"/>
      </w:numPr>
      <w:contextualSpacing/>
    </w:pPr>
  </w:style>
  <w:style w:type="paragraph" w:styleId="31">
    <w:name w:val="List Number 2"/>
    <w:basedOn w:val="0"/>
    <w:pPr>
      <w:numPr>
        <w:ilvl w:val="0"/>
        <w:numId w:val="5"/>
      </w:numPr>
      <w:contextualSpacing/>
    </w:pPr>
  </w:style>
  <w:style w:type="paragraph" w:styleId="32">
    <w:name w:val="List Number 3"/>
    <w:basedOn w:val="0"/>
    <w:pPr>
      <w:numPr>
        <w:ilvl w:val="0"/>
        <w:numId w:val="6"/>
      </w:numPr>
      <w:contextualSpacing/>
    </w:pPr>
  </w:style>
  <w:style w:type="paragraph" w:styleId="33">
    <w:name w:val="List Continue"/>
    <w:basedOn w:val="0"/>
    <w:pPr>
      <w:spacing w:after="120"/>
      <w:ind w:left="360"/>
      <w:contextualSpacing/>
    </w:pPr>
  </w:style>
  <w:style w:type="paragraph" w:styleId="34">
    <w:name w:val="List Continue 2"/>
    <w:basedOn w:val="0"/>
    <w:pPr>
      <w:spacing w:after="120"/>
      <w:ind w:left="720"/>
      <w:contextualSpacing/>
    </w:pPr>
  </w:style>
  <w:style w:type="paragraph" w:styleId="35">
    <w:name w:val="List Continue 3"/>
    <w:basedOn w:val="0"/>
    <w:pPr>
      <w:spacing w:after="120"/>
      <w:ind w:left="1080"/>
      <w:contextualSpacing/>
    </w:pPr>
  </w:style>
  <w:style w:type="paragraph" w:styleId="36">
    <w:name w:val="macro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="ＭＳ 明朝" w:cs="Arial" w:hAnsi="Courier"/>
      <w:sz w:val="20"/>
      <w:szCs w:val="20"/>
      <w:lang w:val="en-US" w:eastAsia="en-US" w:bidi="ar-SA"/>
    </w:rPr>
  </w:style>
  <w:style w:type="paragraph" w:customStyle="1" w:styleId="37">
    <w:name w:val="Quote"/>
    <w:basedOn w:val="0"/>
    <w:next w:val="0"/>
    <w:rPr>
      <w:i/>
      <w:iCs/>
      <w:color w:val="000000"/>
    </w:rPr>
  </w:style>
  <w:style w:type="paragraph" w:styleId="38">
    <w:name w:val="caption"/>
    <w:basedOn w:val="0"/>
    <w:next w:val="0"/>
    <w:pPr>
      <w:spacing w:line="240" w:lineRule="auto"/>
    </w:pPr>
    <w:rPr>
      <w:b/>
      <w:bCs/>
      <w:color w:val="4F81BD"/>
      <w:sz w:val="18"/>
      <w:szCs w:val="18"/>
    </w:rPr>
  </w:style>
  <w:style w:type="character" w:styleId="39">
    <w:name w:val="Strong"/>
    <w:basedOn w:val="10"/>
    <w:rPr>
      <w:b/>
      <w:bCs/>
    </w:rPr>
  </w:style>
  <w:style w:type="character" w:styleId="40">
    <w:name w:val="Emphasis"/>
    <w:basedOn w:val="10"/>
    <w:rPr>
      <w:i/>
      <w:iCs/>
    </w:rPr>
  </w:style>
  <w:style w:type="paragraph" w:customStyle="1" w:styleId="41">
    <w:name w:val="Intense Quote"/>
    <w:basedOn w:val="0"/>
    <w:next w:val="0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42">
    <w:name w:val="Subtle Emphasis"/>
    <w:basedOn w:val="10"/>
    <w:rPr>
      <w:i/>
      <w:iCs/>
      <w:color w:val="808080"/>
    </w:rPr>
  </w:style>
  <w:style w:type="character" w:customStyle="1" w:styleId="43">
    <w:name w:val="Intense Emphasis"/>
    <w:basedOn w:val="10"/>
    <w:rPr>
      <w:b/>
      <w:bCs/>
      <w:i/>
      <w:iCs/>
      <w:color w:val="4F81BD"/>
    </w:rPr>
  </w:style>
  <w:style w:type="character" w:customStyle="1" w:styleId="44">
    <w:name w:val="Subtle Reference"/>
    <w:basedOn w:val="10"/>
    <w:rPr>
      <w:caps w:val="0"/>
      <w:smallCaps/>
      <w:color w:val="C0504D"/>
      <w:u w:val="single"/>
    </w:rPr>
  </w:style>
  <w:style w:type="character" w:customStyle="1" w:styleId="45">
    <w:name w:val="Intense Reference"/>
    <w:basedOn w:val="10"/>
    <w:rPr>
      <w:b/>
      <w:bCs/>
      <w:caps w:val="0"/>
      <w:smallCaps/>
      <w:color w:val="C0504D"/>
      <w:spacing w:val="5"/>
      <w:u w:val="single"/>
    </w:rPr>
  </w:style>
  <w:style w:type="character" w:customStyle="1" w:styleId="46">
    <w:name w:val="Book Title"/>
    <w:basedOn w:val="10"/>
    <w:rPr>
      <w:b/>
      <w:bCs/>
      <w:caps w:val="0"/>
      <w:smallCaps/>
      <w:spacing w:val="5"/>
    </w:rPr>
  </w:style>
  <w:style w:type="paragraph" w:customStyle="1" w:styleId="47">
    <w:name w:val="TOC Heading"/>
    <w:basedOn w:val="1"/>
    <w:next w:val="0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styles" Target="styles.xml"/><Relationship Id="rId3" Type="http://schemas.openxmlformats.org/officeDocument/2006/relationships/numbering" Target="numbering.xml"/><Relationship Id="rId4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>
  <Template>Normal.eit</Template>
  <TotalTime>151</TotalTime>
  <Application>Honor_Office</Application>
  <Pages>4</Pages>
  <Words>129</Words>
  <Characters>733</Characters>
  <Lines>60</Lines>
  <Paragraphs>58</Paragraphs>
  <CharactersWithSpaces>804</CharactersWithSpac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python-docx</dc:creator>
  <dc:description>generated by python-docx</dc:description>
  <cp:lastModifiedBy>HONOR Docs</cp:lastModifiedBy>
  <cp:revision>22</cp:revision>
  <dcterms:created xsi:type="dcterms:W3CDTF">2013-12-23T23:15:00Z</dcterms:created>
  <dcterms:modified xsi:type="dcterms:W3CDTF">2026-10-19T00:10:13Z</dcterms:modified>
</cp:coreProperties>
</file>