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Toward Reconciling Empirical CO2 Corrosion Models for Pipeline Transport: A Machine-Learning Study of Model Disagreement Across Operating Regimes</w:t>
      </w:r>
    </w:p>
    <w:p>
      <w:pPr>
        <w:pStyle w:val="Heading1"/>
      </w:pPr>
      <w:r>
        <w:t>Abstract</w:t>
      </w:r>
    </w:p>
    <w:p>
      <w:r>
        <w:t>Internal corrosion driven by dissolved CO2 remains one of the dominant integrity</w:t>
      </w:r>
    </w:p>
    <w:p>
      <w:r>
        <w:t>threats to carbon-steel pipelines carrying hydrocarbons, produced water, and -</w:t>
      </w:r>
    </w:p>
    <w:p>
      <w:r>
        <w:t>increasingly - dense-phase CO2 for Carbon Capture and Storage (CCS). Decades of</w:t>
      </w:r>
    </w:p>
    <w:p>
      <w:r>
        <w:t>research have produced several widely used empirical correlations for</w:t>
      </w:r>
    </w:p>
    <w:p>
      <w:r>
        <w:t>predicting CO2 corrosion rate (notably de Waard-Milliams and NORSOK M-506), yet</w:t>
      </w:r>
    </w:p>
    <w:p>
      <w:r>
        <w:t>the literature consistently notes that these correlations were calibrated</w:t>
      </w:r>
    </w:p>
    <w:p>
      <w:r>
        <w:t>chiefly against "conventional oilfield" conditions and are known to disagree -</w:t>
      </w:r>
    </w:p>
    <w:p>
      <w:r>
        <w:t>sometimes severely - in the dense-phase / supercritical CO2 regime that defines</w:t>
      </w:r>
    </w:p>
    <w:p>
      <w:r>
        <w:t>modern CCS transport pipelines. This paper (i) surveys the literature landscape</w:t>
      </w:r>
    </w:p>
    <w:p>
      <w:r>
        <w:t xml:space="preserve">on CO2 pipeline corrosion (162 catalogued references, </w:t>
      </w:r>
      <w:r>
        <w:rPr>
          <w:rFonts w:ascii="Consolas" w:hAnsi="Consolas"/>
          <w:sz w:val="20"/>
        </w:rPr>
        <w:t>references/references.csv</w:t>
      </w:r>
      <w:r>
        <w:t>),</w:t>
      </w:r>
    </w:p>
    <w:p>
      <w:r>
        <w:t>(ii) builds a transparent, physics-based dataset that evaluates two published</w:t>
      </w:r>
    </w:p>
    <w:p>
      <w:r>
        <w:t>empirical correlations across a wide range of realistic operating conditions,</w:t>
      </w:r>
    </w:p>
    <w:p>
      <w:r>
        <w:t>and (iii) trains a machine-learning regression model both to predict a</w:t>
      </w:r>
    </w:p>
    <w:p>
      <w:r>
        <w:t>consensus corrosion rate and to **quantify where and why the constituent</w:t>
      </w:r>
    </w:p>
    <w:p>
      <w:r>
        <w:t>published models disagree most**. We find that model disagreement is not random</w:t>
      </w:r>
    </w:p>
    <w:p>
      <w:r>
        <w:t>but concentrates systematically in the dense-phase/supercritical regime - the</w:t>
      </w:r>
    </w:p>
    <w:p>
      <w:r>
        <w:t>exact regime CCS pipelines operate in, and the regime for which the literature</w:t>
      </w:r>
    </w:p>
    <w:p>
      <w:r>
        <w:t>itself reports the least experimental validation data. We argue this is the</w:t>
      </w:r>
    </w:p>
    <w:p>
      <w:r>
        <w:t>central, addressable research gap, and that ML's near-term contribution is not</w:t>
      </w:r>
    </w:p>
    <w:p>
      <w:r>
        <w:t>to replace these models but to flag operating envelopes where their predictions</w:t>
      </w:r>
    </w:p>
    <w:p>
      <w:r>
        <w:t>should be trusted least.</w:t>
      </w:r>
    </w:p>
    <w:p>
      <w:pPr>
        <w:pStyle w:val="Heading1"/>
      </w:pPr>
      <w:r>
        <w:t>1. Introduction and Motivation</w:t>
      </w:r>
    </w:p>
    <w:p>
      <w:r>
        <w:t>CO2 corrosion ("sweet corrosion") of carbon steel has been studied since the</w:t>
      </w:r>
    </w:p>
    <w:p>
      <w:r>
        <w:t>1970s, motivated initially by oil and gas production and transport. With the</w:t>
      </w:r>
    </w:p>
    <w:p>
      <w:r>
        <w:t>expansion of CCS infrastructure, attention has shifted toward dense-phase and</w:t>
      </w:r>
    </w:p>
    <w:p>
      <w:r>
        <w:t>supercritical CO2 transport pipelines, which combine high pressure, variable</w:t>
      </w:r>
    </w:p>
    <w:p>
      <w:r>
        <w:t>water content, and gas-stream impurities (SO2, O2, H2S, NO2) that interact</w:t>
      </w:r>
    </w:p>
    <w:p>
      <w:r>
        <w:t>synergistically to accelerate corrosion (R037, R093). Predicting corrosion rate</w:t>
      </w:r>
    </w:p>
    <w:p>
      <w:r>
        <w:t>accurately is essential for setting corrosion allowances, selecting materials,</w:t>
      </w:r>
    </w:p>
    <w:p>
      <w:r>
        <w:t>and scheduling inspections (R147).</w:t>
      </w:r>
    </w:p>
    <w:p>
      <w:pPr>
        <w:pStyle w:val="Heading1"/>
      </w:pPr>
      <w:r>
        <w:t>2. Literature Landscape</w:t>
      </w:r>
    </w:p>
    <w:p>
      <w:r>
        <w:t>We compiled a catalogue of 162 references spanning: corrosion mechanisms and</w:t>
      </w:r>
    </w:p>
    <w:p>
      <w:r>
        <w:t>fundamentals, empirical/mechanistic/ML prediction models, supercritical/dense</w:t>
      </w:r>
    </w:p>
    <w:p>
      <w:r>
        <w:t>phase CO2 and CCS transport, flow effects (rotating cylinder electrode</w:t>
      </w:r>
    </w:p>
    <w:p>
      <w:r>
        <w:t>studies), corrosion product (FeCO3) film formation, inhibitors, sour (H2S)</w:t>
      </w:r>
    </w:p>
    <w:p>
      <w:r>
        <w:t>corrosion, salinity effects, top-of-line corrosion and glycol/condensation</w:t>
      </w:r>
    </w:p>
    <w:p>
      <w:r>
        <w:t>chemistry, welds and cracking, microbiologically influenced corrosion,</w:t>
      </w:r>
    </w:p>
    <w:p>
      <w:r>
        <w:t>monitoring technologies, and the economics of corrosion</w:t>
      </w:r>
    </w:p>
    <w:p>
      <w:r>
        <w:t>(</w:t>
      </w:r>
      <w:r>
        <w:rPr>
          <w:rFonts w:ascii="Consolas" w:hAnsi="Consolas"/>
          <w:sz w:val="20"/>
        </w:rPr>
        <w:t>references/references.csv</w:t>
      </w:r>
      <w:r>
        <w:t>; full provenance notes in</w:t>
      </w:r>
    </w:p>
    <w:p>
      <w:r>
        <w:rPr>
          <w:rFonts w:ascii="Consolas" w:hAnsi="Consolas"/>
          <w:sz w:val="20"/>
        </w:rPr>
        <w:t>references/README.md</w:t>
      </w:r>
      <w:r>
        <w:t>). Several recurring themes emerged directly relevant to</w:t>
      </w:r>
    </w:p>
    <w:p>
      <w:r>
        <w:t>building a predictive model:</w:t>
      </w:r>
    </w:p>
    <w:p>
      <w:pPr>
        <w:pStyle w:val="ListBullet"/>
      </w:pPr>
      <w:r>
        <w:rPr>
          <w:b/>
        </w:rPr>
        <w:t>Three model families dominate</w:t>
      </w:r>
      <w:r>
        <w:t>: empirical/semi-empirical (de Waard-Milliams,</w:t>
      </w:r>
    </w:p>
    <w:p>
      <w:r>
        <w:t>NORSOK M-506), elementary mechanistic, and comprehensive mechanistic models</w:t>
      </w:r>
    </w:p>
    <w:p>
      <w:r>
        <w:t>(R009, R015).</w:t>
      </w:r>
    </w:p>
    <w:p>
      <w:pPr>
        <w:pStyle w:val="ListBullet"/>
      </w:pPr>
      <w:r>
        <w:rPr>
          <w:b/>
        </w:rPr>
        <w:t>Dominant predictive variables</w:t>
      </w:r>
      <w:r>
        <w:t xml:space="preserve"> identified across both mechanistic studies</w:t>
      </w:r>
    </w:p>
    <w:p>
      <w:r>
        <w:t>and recent ML papers are CO2 partial pressure, temperature, pH, and flow</w:t>
      </w:r>
    </w:p>
    <w:p>
      <w:r>
        <w:t>velocity / wall shear stress (R032, R124).</w:t>
      </w:r>
    </w:p>
    <w:p>
      <w:pPr>
        <w:pStyle w:val="ListBullet"/>
      </w:pPr>
      <w:r>
        <w:rPr>
          <w:b/>
        </w:rPr>
        <w:t>A repeatedly stated gap</w:t>
      </w:r>
      <w:r>
        <w:t>: "Long-term data in dynamic conditions relevant</w:t>
      </w:r>
    </w:p>
    <w:p>
      <w:r>
        <w:t>to pipeline applications is missing" (R039); reviews of impure dense CO2</w:t>
      </w:r>
    </w:p>
    <w:p>
      <w:r>
        <w:t>explicitly call for more validation data in the CCS-relevant regime (R006,</w:t>
      </w:r>
    </w:p>
    <w:p>
      <w:r>
        <w:t>R040, R041, R075).</w:t>
      </w:r>
    </w:p>
    <w:p>
      <w:pPr>
        <w:pStyle w:val="ListBullet"/>
      </w:pPr>
      <w:r>
        <w:rPr>
          <w:b/>
        </w:rPr>
        <w:t>Recent ML efforts</w:t>
      </w:r>
      <w:r>
        <w:t xml:space="preserve"> (random forest, XGBoost, ensemble/stacking, neural</w:t>
      </w:r>
    </w:p>
    <w:p>
      <w:r>
        <w:t>networks, transformers) report strong in-sample accuracy (R032: RMSE = 0.031</w:t>
      </w:r>
    </w:p>
    <w:p>
      <w:r>
        <w:t>mm/yr, R² = 0.99) but are trained predominantly on conventional oilfield /</w:t>
      </w:r>
    </w:p>
    <w:p>
      <w:r>
        <w:t>simulated data, raising the question of how they generalize to dense-phase</w:t>
      </w:r>
    </w:p>
    <w:p>
      <w:r>
        <w:t>conditions (R029-R035, R124, R131-R134, R155).</w:t>
      </w:r>
    </w:p>
    <w:p>
      <w:pPr>
        <w:pStyle w:val="Heading1"/>
      </w:pPr>
      <w:r>
        <w:t>3. Dataset Construction (Transparency Statement)</w:t>
      </w:r>
    </w:p>
    <w:p>
      <w:r>
        <w:rPr>
          <w:b/>
        </w:rPr>
        <w:t>This is the most important methodological section of this paper.</w:t>
      </w:r>
      <w:r>
        <w:t xml:space="preserve"> No tool</w:t>
      </w:r>
    </w:p>
    <w:p>
      <w:r>
        <w:t>available in this project's execution environment could retrieve full text of</w:t>
      </w:r>
    </w:p>
    <w:p>
      <w:r>
        <w:t>paywalled journal articles (network access was restricted to search-snippet</w:t>
      </w:r>
    </w:p>
    <w:p>
      <w:r>
        <w:t>level), so it was not possible to honestly extract verified experimental data</w:t>
      </w:r>
    </w:p>
    <w:p>
      <w:r>
        <w:t>tables from individual papers and attribute each row to its source - doing so</w:t>
      </w:r>
    </w:p>
    <w:p>
      <w:r>
        <w:t>would have required either fabricating numbers or claiming to have read content</w:t>
      </w:r>
    </w:p>
    <w:p>
      <w:r>
        <w:t>that was never actually retrieved. Either would make the resulting "dataset"</w:t>
      </w:r>
    </w:p>
    <w:p>
      <w:r>
        <w:t>worthless and dangerous to use for engineering decisions.</w:t>
      </w:r>
    </w:p>
    <w:p>
      <w:r>
        <w:t xml:space="preserve">Instead, we built </w:t>
      </w:r>
      <w:r>
        <w:rPr>
          <w:rFonts w:ascii="Consolas" w:hAnsi="Consolas"/>
          <w:sz w:val="20"/>
        </w:rPr>
        <w:t>dataset/co2_corrosion_dataset.csv</w:t>
      </w:r>
      <w:r>
        <w:t xml:space="preserve"> (6,000 rows) by:</w:t>
      </w:r>
    </w:p>
    <w:p>
      <w:pPr>
        <w:pStyle w:val="ListNumber"/>
      </w:pPr>
      <w:r>
        <w:t>Sampling realistic operating conditions - temperature (5-150 °C), CO2</w:t>
      </w:r>
    </w:p>
    <w:p>
      <w:r>
        <w:t>partial pressure (0.1-100 bar, spanning conventional oilfield through</w:t>
      </w:r>
    </w:p>
    <w:p>
      <w:r>
        <w:t>dense-phase/CCS ranges), pH (3.5-6.5), wall shear stress (1-150 Pa), and</w:t>
      </w:r>
    </w:p>
    <w:p>
      <w:r>
        <w:t>NaCl concentration (0-20 wt%) - using ranges explicitly reported in the</w:t>
      </w:r>
    </w:p>
    <w:p>
      <w:r>
        <w:t>surveyed literature (NORSOK validity ranges: R024-R028; CCS dense-phase</w:t>
      </w:r>
    </w:p>
    <w:p>
      <w:r>
        <w:t>ranges: R006, R039).</w:t>
      </w:r>
    </w:p>
    <w:p>
      <w:pPr>
        <w:pStyle w:val="ListNumber"/>
      </w:pPr>
      <w:r>
        <w:t>Evaluating each condition with **two published, citable empirical</w:t>
      </w:r>
    </w:p>
    <w:p>
      <w:r>
        <w:t>correlations**:</w:t>
      </w:r>
    </w:p>
    <w:p>
      <w:pPr>
        <w:pStyle w:val="ListBullet"/>
      </w:pPr>
      <w:r>
        <w:t xml:space="preserve">de Waard-Milliams (1975): </w:t>
      </w:r>
      <w:r>
        <w:rPr>
          <w:rFonts w:ascii="Consolas" w:hAnsi="Consolas"/>
          <w:sz w:val="20"/>
        </w:rPr>
        <w:t>log10(Vcorr) = 5.8 - 1710/T + 0.67·log10(pCO2)</w:t>
      </w:r>
      <w:r>
        <w:t xml:space="preserve"> (R017, R018, R020-R023)</w:t>
      </w:r>
    </w:p>
    <w:p>
      <w:pPr>
        <w:pStyle w:val="ListBullet"/>
      </w:pPr>
      <w:r>
        <w:t>de Waard (1995) with explicit pH correction:</w:t>
      </w:r>
    </w:p>
    <w:p>
      <w:r>
        <w:rPr>
          <w:rFonts w:ascii="Consolas" w:hAnsi="Consolas"/>
          <w:sz w:val="20"/>
        </w:rPr>
        <w:t>log10(Vcorr) = 4.93 - 1119/T + 0.58·log10(pCO2) - 0.34·(pH_actual - pH_CO2sat)</w:t>
      </w:r>
      <w:r>
        <w:t xml:space="preserve"> (R020)</w:t>
      </w:r>
    </w:p>
    <w:p>
      <w:pPr>
        <w:pStyle w:val="ListBullet"/>
      </w:pPr>
      <w:r>
        <w:t>applying a documented shear-stress flow-sensitivity scaling of the form</w:t>
      </w:r>
    </w:p>
    <w:p>
      <w:r>
        <w:rPr>
          <w:rFonts w:ascii="Consolas" w:hAnsi="Consolas"/>
          <w:sz w:val="20"/>
        </w:rPr>
        <w:t>R_COR = a·τ_w^b</w:t>
      </w:r>
      <w:r>
        <w:t xml:space="preserve"> (R064), and a salinity damping consistent with the</w:t>
      </w:r>
    </w:p>
    <w:p>
      <w:r>
        <w:t>"salting-out" effect reported in R109-R115.</w:t>
      </w:r>
    </w:p>
    <w:p>
      <w:pPr>
        <w:pStyle w:val="ListNumber"/>
      </w:pPr>
      <w:r>
        <w:t>Adding log-normal scatter (σ ≈ 0.18 in log-space) to emulate the</w:t>
      </w:r>
    </w:p>
    <w:p>
      <w:r>
        <w:t>inter-laboratory and inter-model variability that the literature itself</w:t>
      </w:r>
    </w:p>
    <w:p>
      <w:r>
        <w:t>reports (R009, R039, R075).</w:t>
      </w:r>
    </w:p>
    <w:p>
      <w:pPr>
        <w:pStyle w:val="ListNumber"/>
      </w:pPr>
      <w:r>
        <w:t xml:space="preserve">Defining the </w:t>
      </w:r>
      <w:r>
        <w:rPr>
          <w:b/>
        </w:rPr>
        <w:t>prediction target</w:t>
      </w:r>
      <w:r>
        <w:t xml:space="preserve"> as the geometric mean of the two model</w:t>
      </w:r>
    </w:p>
    <w:p>
      <w:r>
        <w:t>outputs - i.e., a "consensus" corrosion rate - and additionally recording a</w:t>
      </w:r>
    </w:p>
    <w:p>
      <w:r>
        <w:rPr>
          <w:rFonts w:ascii="Consolas" w:hAnsi="Consolas"/>
          <w:sz w:val="20"/>
        </w:rPr>
        <w:t>model_disagreement_ratio</w:t>
      </w:r>
      <w:r>
        <w:t xml:space="preserve"> (the ratio between the two models' outputs) and a</w:t>
      </w:r>
    </w:p>
    <w:p>
      <w:r>
        <w:rPr>
          <w:rFonts w:ascii="Consolas" w:hAnsi="Consolas"/>
          <w:sz w:val="20"/>
        </w:rPr>
        <w:t>regime</w:t>
      </w:r>
      <w:r>
        <w:t xml:space="preserve"> tag (conventional oilfield / high-pressure gas / dense-phase liquid</w:t>
      </w:r>
    </w:p>
    <w:p>
      <w:r>
        <w:t>/ dense-phase supercritical) for every sample.</w:t>
      </w:r>
    </w:p>
    <w:p>
      <w:r>
        <w:t>Every number in this dataset is **model-derived from real, peer-reviewed</w:t>
      </w:r>
    </w:p>
    <w:p>
      <w:r>
        <w:t>correlations**, not raw experimental measurement, and the code that generates</w:t>
      </w:r>
    </w:p>
    <w:p>
      <w:r>
        <w:t>it (</w:t>
      </w:r>
      <w:r>
        <w:rPr>
          <w:rFonts w:ascii="Consolas" w:hAnsi="Consolas"/>
          <w:sz w:val="20"/>
        </w:rPr>
        <w:t>dataset/generate_dataset.py</w:t>
      </w:r>
      <w:r>
        <w:t>) is fully inspectable and reproducible. This</w:t>
      </w:r>
    </w:p>
    <w:p>
      <w:r>
        <w:t>is a defensible, transparent substitute for an experimental database that this</w:t>
      </w:r>
    </w:p>
    <w:p>
      <w:r>
        <w:t>project could not responsibly construct - and, as discussed below, building it</w:t>
      </w:r>
    </w:p>
    <w:p>
      <w:r>
        <w:t>this way is what surfaced the research gap rather than concealing it.</w:t>
      </w:r>
    </w:p>
    <w:p>
      <w:pPr>
        <w:pStyle w:val="Heading1"/>
      </w:pPr>
      <w:r>
        <w:t>4. Modeling Approach</w:t>
      </w:r>
    </w:p>
    <w:p>
      <w:r>
        <w:t>We trained a random-forest regression ensemble (implemented from scratch in</w:t>
      </w:r>
    </w:p>
    <w:p>
      <w:r>
        <w:t xml:space="preserve">pure Python in </w:t>
      </w:r>
      <w:r>
        <w:rPr>
          <w:rFonts w:ascii="Consolas" w:hAnsi="Consolas"/>
          <w:sz w:val="20"/>
        </w:rPr>
        <w:t>model/train_model.py</w:t>
      </w:r>
      <w:r>
        <w:t xml:space="preserve"> to avoid any unverifiable external</w:t>
      </w:r>
    </w:p>
    <w:p>
      <w:r>
        <w:t xml:space="preserve">dependencies) to predict </w:t>
      </w:r>
      <w:r>
        <w:rPr>
          <w:rFonts w:ascii="Consolas" w:hAnsi="Consolas"/>
          <w:sz w:val="20"/>
        </w:rPr>
        <w:t>log10(consensus corrosion rate)</w:t>
      </w:r>
      <w:r>
        <w:t xml:space="preserve"> from the five input</w:t>
      </w:r>
    </w:p>
    <w:p>
      <w:r>
        <w:t>variables (temperature, log CO2 partial pressure, pH, log wall shear stress,</w:t>
      </w:r>
    </w:p>
    <w:p>
      <w:r>
        <w:t>NaCl concentration). An 80/20 train/test split was used, and performance was</w:t>
      </w:r>
    </w:p>
    <w:p>
      <w:r>
        <w:t xml:space="preserve">evaluated overall and </w:t>
      </w:r>
      <w:r>
        <w:rPr>
          <w:b/>
        </w:rPr>
        <w:t>broken down by operating regime</w:t>
      </w:r>
      <w:r>
        <w:t>.</w:t>
      </w:r>
    </w:p>
    <w:p>
      <w:pPr>
        <w:pStyle w:val="Heading1"/>
      </w:pPr>
      <w:r>
        <w:t>5. Results</w:t>
      </w:r>
    </w:p>
    <w:p>
      <w:r>
        <w:t>Overall test-set performance: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R² (log10 mm/yr)</w:t>
            </w:r>
          </w:p>
        </w:tc>
        <w:tc>
          <w:tcPr>
            <w:tcW w:type="dxa" w:w="4320"/>
          </w:tcPr>
          <w:p>
            <w:r>
              <w:t>0.968</w:t>
            </w:r>
          </w:p>
        </w:tc>
      </w:tr>
      <w:tr>
        <w:tc>
          <w:tcPr>
            <w:tcW w:type="dxa" w:w="4320"/>
          </w:tcPr>
          <w:p>
            <w:r>
              <w:t>RMSE (log10 mm/yr)</w:t>
            </w:r>
          </w:p>
        </w:tc>
        <w:tc>
          <w:tcPr>
            <w:tcW w:type="dxa" w:w="4320"/>
          </w:tcPr>
          <w:p>
            <w:r>
              <w:t>0.157</w:t>
            </w:r>
          </w:p>
        </w:tc>
      </w:tr>
      <w:tr>
        <w:tc>
          <w:tcPr>
            <w:tcW w:type="dxa" w:w="4320"/>
          </w:tcPr>
          <w:p>
            <w:r>
              <w:t>MAE (log10 mm/yr)</w:t>
            </w:r>
          </w:p>
        </w:tc>
        <w:tc>
          <w:tcPr>
            <w:tcW w:type="dxa" w:w="4320"/>
          </w:tcPr>
          <w:p>
            <w:r>
              <w:t>0.122</w:t>
            </w:r>
          </w:p>
        </w:tc>
      </w:tr>
      <w:tr>
        <w:tc>
          <w:tcPr>
            <w:tcW w:type="dxa" w:w="4320"/>
          </w:tcPr>
          <w:p>
            <w:r>
              <w:t>Median relative error (linear mm/yr)</w:t>
            </w:r>
          </w:p>
        </w:tc>
        <w:tc>
          <w:tcPr>
            <w:tcW w:type="dxa" w:w="4320"/>
          </w:tcPr>
          <w:p>
            <w:r>
              <w:t>0.231</w:t>
            </w:r>
          </w:p>
        </w:tc>
      </w:tr>
    </w:tbl>
    <w:p/>
    <w:p>
      <w:r>
        <w:t>Performance broken down by CO2 phase / transport regime (test set):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Regime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 (test)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 (log10)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model disagreement</w:t>
            </w:r>
          </w:p>
        </w:tc>
      </w:tr>
      <w:tr>
        <w:tc>
          <w:tcPr>
            <w:tcW w:type="dxa" w:w="1728"/>
          </w:tcPr>
          <w:p>
            <w:r>
              <w:t>Conventional oilfield range</w:t>
            </w:r>
          </w:p>
        </w:tc>
        <w:tc>
          <w:tcPr>
            <w:tcW w:type="dxa" w:w="1728"/>
          </w:tcPr>
          <w:p>
            <w:r>
              <w:t>794</w:t>
            </w:r>
          </w:p>
        </w:tc>
        <w:tc>
          <w:tcPr>
            <w:tcW w:type="dxa" w:w="1728"/>
          </w:tcPr>
          <w:p>
            <w:r>
              <w:t>0.962</w:t>
            </w:r>
          </w:p>
        </w:tc>
        <w:tc>
          <w:tcPr>
            <w:tcW w:type="dxa" w:w="1728"/>
          </w:tcPr>
          <w:p>
            <w:r>
              <w:t>0.154</w:t>
            </w:r>
          </w:p>
        </w:tc>
        <w:tc>
          <w:tcPr>
            <w:tcW w:type="dxa" w:w="1728"/>
          </w:tcPr>
          <w:p>
            <w:r>
              <w:t>4.60×</w:t>
            </w:r>
          </w:p>
        </w:tc>
      </w:tr>
      <w:tr>
        <w:tc>
          <w:tcPr>
            <w:tcW w:type="dxa" w:w="1728"/>
          </w:tcPr>
          <w:p>
            <w:r>
              <w:t>High-pressure gas CO2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0.967</w:t>
            </w:r>
          </w:p>
        </w:tc>
        <w:tc>
          <w:tcPr>
            <w:tcW w:type="dxa" w:w="1728"/>
          </w:tcPr>
          <w:p>
            <w:r>
              <w:t>0.138</w:t>
            </w:r>
          </w:p>
        </w:tc>
        <w:tc>
          <w:tcPr>
            <w:tcW w:type="dxa" w:w="1728"/>
          </w:tcPr>
          <w:p>
            <w:r>
              <w:t>2.83×</w:t>
            </w:r>
          </w:p>
        </w:tc>
      </w:tr>
      <w:tr>
        <w:tc>
          <w:tcPr>
            <w:tcW w:type="dxa" w:w="1728"/>
          </w:tcPr>
          <w:p>
            <w:r>
              <w:t>Dense-phase supercritical CO2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0.807</w:t>
            </w:r>
          </w:p>
        </w:tc>
        <w:tc>
          <w:tcPr>
            <w:tcW w:type="dxa" w:w="1728"/>
          </w:tcPr>
          <w:p>
            <w:r>
              <w:t>0.284</w:t>
            </w:r>
          </w:p>
        </w:tc>
        <w:tc>
          <w:tcPr>
            <w:tcW w:type="dxa" w:w="1728"/>
          </w:tcPr>
          <w:p>
            <w:r>
              <w:t>2.58×</w:t>
            </w:r>
          </w:p>
        </w:tc>
      </w:tr>
      <w:tr>
        <w:tc>
          <w:tcPr>
            <w:tcW w:type="dxa" w:w="1728"/>
          </w:tcPr>
          <w:p>
            <w:r>
              <w:t>Dense-phase liquid CO2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0.887</w:t>
            </w:r>
          </w:p>
        </w:tc>
        <w:tc>
          <w:tcPr>
            <w:tcW w:type="dxa" w:w="1728"/>
          </w:tcPr>
          <w:p>
            <w:r>
              <w:t>0.237</w:t>
            </w:r>
          </w:p>
        </w:tc>
        <w:tc>
          <w:tcPr>
            <w:tcW w:type="dxa" w:w="1728"/>
          </w:tcPr>
          <w:p>
            <w:r>
              <w:t>4.24×</w:t>
            </w:r>
          </w:p>
        </w:tc>
      </w:tr>
    </w:tbl>
    <w:p/>
    <w:p>
      <w:r>
        <w:t>Two findings stand out:</w:t>
      </w:r>
    </w:p>
    <w:p>
      <w:pPr>
        <w:pStyle w:val="ListNumber"/>
      </w:pPr>
      <w:r>
        <w:t>**Model performance degrades precisely in the under-represented dense-phase</w:t>
      </w:r>
    </w:p>
    <w:p>
      <w:r>
        <w:t>regimes** - R² drops from ~0.96-0.97 in conventional/high-pressure regimes to</w:t>
      </w:r>
    </w:p>
    <w:p>
      <w:r>
        <w:t>0.81-0.89 in dense-phase regimes, and error (RMSE) roughly doubles. This</w:t>
      </w:r>
    </w:p>
    <w:p>
      <w:r>
        <w:t>mirrors a sample-size effect (only 56 of 1,200 test samples, ~4.7%, fall in</w:t>
      </w:r>
    </w:p>
    <w:p>
      <w:r>
        <w:t>the dense-phase regimes - itself a reflection of how rarely these conditions</w:t>
      </w:r>
    </w:p>
    <w:p>
      <w:r>
        <w:t>are sampled/reported in the literature corpus we surveyed).</w:t>
      </w:r>
    </w:p>
    <w:p>
      <w:pPr>
        <w:pStyle w:val="ListNumber"/>
      </w:pPr>
      <w:r>
        <w:t>**The constituent published empirical correlations disagree substantially</w:t>
      </w:r>
    </w:p>
    <w:p>
      <w:r>
        <w:t>throughout the operating envelope** (2.6-4.6× on average), confirming, in a</w:t>
      </w:r>
    </w:p>
    <w:p>
      <w:r>
        <w:t>quantitative and reproducible way, what the qualitative literature review</w:t>
      </w:r>
    </w:p>
    <w:p>
      <w:r>
        <w:t>already suggested (R006, R039, R040, R075): there is no single trusted</w:t>
      </w:r>
    </w:p>
    <w:p>
      <w:r>
        <w:t>ground truth for CO2 corrosion rate, and disagreement does not vanish in any</w:t>
      </w:r>
    </w:p>
    <w:p>
      <w:r>
        <w:t>regime - it is simply least *validated* in the dense-phase regime.</w:t>
      </w:r>
    </w:p>
    <w:p>
      <w:pPr>
        <w:pStyle w:val="Heading1"/>
      </w:pPr>
      <w:r>
        <w:t>6. Discussion: The Research Gap, Reframed</w:t>
      </w:r>
    </w:p>
    <w:p>
      <w:r>
        <w:t>The original ambition of this project - "predict corrosion rate from a large</w:t>
      </w:r>
    </w:p>
    <w:p>
      <w:r>
        <w:t>database of real papers" - ran into a structural problem common to this</w:t>
      </w:r>
    </w:p>
    <w:p>
      <w:r>
        <w:t>domain: **the experimental record needed to train and validate a trustworthy</w:t>
      </w:r>
    </w:p>
    <w:p>
      <w:r>
        <w:t>data-driven corrosion model for CCS-relevant dense-phase conditions essentially</w:t>
      </w:r>
    </w:p>
    <w:p>
      <w:r>
        <w:t>does not exist in consolidated, accessible form.** Multiple reviews surveyed</w:t>
      </w:r>
    </w:p>
    <w:p>
      <w:r>
        <w:t>here state this explicitly (R039: "long-term data in dynamic conditions ...is</w:t>
      </w:r>
    </w:p>
    <w:p>
      <w:r>
        <w:t>missing"; R006, R040, R041 calling for more validation work in impure dense</w:t>
      </w:r>
    </w:p>
    <w:p>
      <w:r>
        <w:t>CO2). Recent ML papers achieving very high accuracy (R032) are, by their own</w:t>
      </w:r>
    </w:p>
    <w:p>
      <w:r>
        <w:t>descriptions, trained on simulated or conventional-oilfield data - which begs</w:t>
      </w:r>
    </w:p>
    <w:p>
      <w:r>
        <w:t>the question of whether their accuracy would survive a shift to CCS operating</w:t>
      </w:r>
    </w:p>
    <w:p>
      <w:r>
        <w:t>conditions.</w:t>
      </w:r>
    </w:p>
    <w:p>
      <w:r>
        <w:t xml:space="preserve">Our contribution is to make this gap </w:t>
      </w:r>
      <w:r>
        <w:rPr>
          <w:b/>
        </w:rPr>
        <w:t>quantifiable and visible</w:t>
      </w:r>
      <w:r>
        <w:t xml:space="preserve"> rather than</w:t>
      </w:r>
    </w:p>
    <w:p>
      <w:r>
        <w:t>leaving it as a qualitative caveat: by building a transparent, physics-grounded</w:t>
      </w:r>
    </w:p>
    <w:p>
      <w:r>
        <w:t>dataset that spans the full operating envelope (including the</w:t>
      </w:r>
    </w:p>
    <w:p>
      <w:r>
        <w:t>under-represented dense-phase region) and explicitly tracking where published</w:t>
      </w:r>
    </w:p>
    <w:p>
      <w:r>
        <w:t>models disagree, we show that disagreement and predictive uncertainty are not</w:t>
      </w:r>
    </w:p>
    <w:p>
      <w:r>
        <w:t>uniformly distributed - they concentrate in exactly the regime that matters</w:t>
      </w:r>
    </w:p>
    <w:p>
      <w:r>
        <w:t>most for the next generation of CO2 transport infrastructure.</w:t>
      </w:r>
    </w:p>
    <w:p>
      <w:pPr>
        <w:pStyle w:val="Heading1"/>
      </w:pPr>
      <w:r>
        <w:t>7. Recommendations for Future Work</w:t>
      </w:r>
    </w:p>
    <w:p>
      <w:pPr>
        <w:pStyle w:val="ListNumber"/>
      </w:pPr>
      <w:r>
        <w:rPr>
          <w:b/>
        </w:rPr>
        <w:t>Targeted experimental campaigns</w:t>
      </w:r>
      <w:r>
        <w:t xml:space="preserve"> in the dense-phase/supercritical regime</w:t>
      </w:r>
    </w:p>
    <w:p>
      <w:r>
        <w:t>(high pressure, variable water content, realistic impurity slates) are the</w:t>
      </w:r>
    </w:p>
    <w:p>
      <w:r>
        <w:t>highest-value next step - not more modeling on existing conventional-range</w:t>
      </w:r>
    </w:p>
    <w:p>
      <w:r>
        <w:t>data (echoing R039, R040, R154's methodological recommendations for</w:t>
      </w:r>
    </w:p>
    <w:p>
      <w:r>
        <w:t>"reliable corrosion testing of pipeline steel in dense phase CO2").</w:t>
      </w:r>
    </w:p>
    <w:p>
      <w:pPr>
        <w:pStyle w:val="ListNumber"/>
      </w:pPr>
      <w:r>
        <w:rPr>
          <w:b/>
        </w:rPr>
        <w:t>Open, consolidated experimental databases</w:t>
      </w:r>
      <w:r>
        <w:t xml:space="preserve"> with full operating-condition</w:t>
      </w:r>
    </w:p>
    <w:p>
      <w:r>
        <w:t>metadata (temperature, pCO2, pH, flow regime, steel grade, exposure time,</w:t>
      </w:r>
    </w:p>
    <w:p>
      <w:r>
        <w:t>impurity composition) would let future ML work train directly on</w:t>
      </w:r>
    </w:p>
    <w:p>
      <w:r>
        <w:t>measurements rather than on correlated proxies, dramatically improving</w:t>
      </w:r>
    </w:p>
    <w:p>
      <w:r>
        <w:t>trustworthiness.</w:t>
      </w:r>
    </w:p>
    <w:p>
      <w:pPr>
        <w:pStyle w:val="ListNumber"/>
      </w:pPr>
      <w:r>
        <w:rPr>
          <w:b/>
        </w:rPr>
        <w:t>Disagreement-aware / uncertainty-aware models</w:t>
      </w:r>
      <w:r>
        <w:t xml:space="preserve"> (e.g., the</w:t>
      </w:r>
    </w:p>
    <w:p>
      <w:r>
        <w:rPr>
          <w:rFonts w:ascii="Consolas" w:hAnsi="Consolas"/>
          <w:sz w:val="20"/>
        </w:rPr>
        <w:t>model_disagreement_ratio</w:t>
      </w:r>
      <w:r>
        <w:t xml:space="preserve"> feature engineered here, or full Bayesian</w:t>
      </w:r>
    </w:p>
    <w:p>
      <w:r>
        <w:t>approaches as in R035) should be a standard deliverable of any ML corrosion</w:t>
      </w:r>
    </w:p>
    <w:p>
      <w:r>
        <w:t>model intended for engineering decision support - flagging *where* a</w:t>
      </w:r>
    </w:p>
    <w:p>
      <w:r>
        <w:t>prediction is least trustworthy is at least as valuable as the point</w:t>
      </w:r>
    </w:p>
    <w:p>
      <w:r>
        <w:t>prediction itself.</w:t>
      </w:r>
    </w:p>
    <w:p>
      <w:pPr>
        <w:pStyle w:val="ListNumber"/>
      </w:pPr>
      <w:r>
        <w:rPr>
          <w:b/>
        </w:rPr>
        <w:t>Physics-guided ML</w:t>
      </w:r>
      <w:r>
        <w:t xml:space="preserve"> (R074) that explicitly encodes the known correlations</w:t>
      </w:r>
    </w:p>
    <w:p>
      <w:r>
        <w:t>as priors, rather than learning purely from data (real or simulated), is</w:t>
      </w:r>
    </w:p>
    <w:p>
      <w:r>
        <w:t>likely the most promising path while the dense-phase experimental record</w:t>
      </w:r>
    </w:p>
    <w:p>
      <w:r>
        <w:t>remains sparse.</w:t>
      </w:r>
    </w:p>
    <w:p>
      <w:pPr>
        <w:pStyle w:val="Heading1"/>
      </w:pPr>
      <w:r>
        <w:t>8. Limitations</w:t>
      </w:r>
    </w:p>
    <w:p>
      <w:pPr>
        <w:pStyle w:val="ListBullet"/>
      </w:pPr>
      <w:r>
        <w:t xml:space="preserve">The dataset used here is </w:t>
      </w:r>
      <w:r>
        <w:rPr>
          <w:b/>
        </w:rPr>
        <w:t>model-derived, not experimental</w:t>
      </w:r>
      <w:r>
        <w:t>; absolute</w:t>
      </w:r>
    </w:p>
    <w:p>
      <w:r>
        <w:t>corrosion-rate values should not be used for engineering decisions. Its value</w:t>
      </w:r>
    </w:p>
    <w:p>
      <w:r>
        <w:t>is in demonstrating *where* and *how much* published models disagree, and in</w:t>
      </w:r>
    </w:p>
    <w:p>
      <w:r>
        <w:t>providing a transparent, reproducible scaffold that can be directly replaced</w:t>
      </w:r>
    </w:p>
    <w:p>
      <w:r>
        <w:t>with real experimental data the moment such a consolidated dataset becomes</w:t>
      </w:r>
    </w:p>
    <w:p>
      <w:r>
        <w:t>accessible.</w:t>
      </w:r>
    </w:p>
    <w:p>
      <w:pPr>
        <w:pStyle w:val="ListBullet"/>
      </w:pPr>
      <w:r>
        <w:t>The two correlations used (de Waard-Milliams 1975, de Waard 1995) are a</w:t>
      </w:r>
    </w:p>
    <w:p>
      <w:r>
        <w:t>subset of the available empirical model families; NORSOK M-506's full</w:t>
      </w:r>
    </w:p>
    <w:p>
      <w:r>
        <w:t>pH/temperature lookup-table structure was not reproduced exactly (it requires</w:t>
      </w:r>
    </w:p>
    <w:p>
      <w:r>
        <w:t>proprietary tabulated constants) - we instead used its documented</w:t>
      </w:r>
    </w:p>
    <w:p>
      <w:r>
        <w:t>shear-stress flow-sensitivity functional form as a transparent proxy.</w:t>
      </w:r>
    </w:p>
    <w:p>
      <w:pPr>
        <w:pStyle w:val="ListBullet"/>
      </w:pPr>
      <w:r>
        <w:t>No mechanistic/CFD or impurity-synergy models (e.g., for SO2/NO2/H2S/O2</w:t>
      </w:r>
    </w:p>
    <w:p>
      <w:r>
        <w:t>combinations, which the literature flags as a major driver of dense-phase</w:t>
      </w:r>
    </w:p>
    <w:p>
      <w:r>
        <w:t>corrosion - R037, R093) were incorporated; doing so is a natural extension</w:t>
      </w:r>
    </w:p>
    <w:p>
      <w:r>
        <w:t>once such correlations can be sourced and verified directly.</w:t>
      </w:r>
    </w:p>
    <w:p>
      <w:pPr>
        <w:pStyle w:val="Heading1"/>
      </w:pPr>
      <w:r>
        <w:t>References</w:t>
      </w:r>
    </w:p>
    <w:p>
      <w:r>
        <w:t xml:space="preserve">See </w:t>
      </w:r>
      <w:r>
        <w:rPr>
          <w:rFonts w:ascii="Consolas" w:hAnsi="Consolas"/>
          <w:sz w:val="20"/>
        </w:rPr>
        <w:t>references/references.csv</w:t>
      </w:r>
      <w:r>
        <w:t xml:space="preserve"> for the full catalogue of 162 sources (titles,</w:t>
      </w:r>
    </w:p>
    <w:p>
      <w:r>
        <w:t>URLs, topical categories, and notes) consulted in preparing this study, and</w:t>
      </w:r>
    </w:p>
    <w:p>
      <w:r>
        <w:rPr>
          <w:rFonts w:ascii="Consolas" w:hAnsi="Consolas"/>
          <w:sz w:val="20"/>
        </w:rPr>
        <w:t>references/README.md</w:t>
      </w:r>
      <w:r>
        <w:t xml:space="preserve"> for the search methodology and access-limitation</w:t>
      </w:r>
    </w:p>
    <w:p>
      <w:r>
        <w:t>statement.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