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i w:val="0"/>
          <w:sz w:val="32"/>
        </w:rPr>
        <w:t>Deep Learning vs. Shallow Machine Learning for Oil Recovery Factor Prediction in Polymer Flood Reservoir Simulation</w:t>
      </w:r>
    </w:p>
    <w:p>
      <w:pPr>
        <w:jc w:val="center"/>
      </w:pPr>
      <w:r>
        <w:rPr>
          <w:rFonts w:ascii="Times New Roman" w:hAnsi="Times New Roman"/>
          <w:b w:val="0"/>
          <w:i/>
          <w:sz w:val="22"/>
        </w:rPr>
        <w:t>Anonymous Author(s)</w:t>
      </w:r>
    </w:p>
    <w:p>
      <w:pPr>
        <w:spacing w:after="320"/>
        <w:jc w:val="center"/>
      </w:pPr>
      <w:r>
        <w:rPr>
          <w:rFonts w:ascii="Times New Roman" w:hAnsi="Times New Roman"/>
          <w:b w:val="0"/>
          <w:i/>
          <w:sz w:val="20"/>
        </w:rPr>
        <w:t>Department of Petroleum Engineering, [Institution Name], [City, Country]</w:t>
      </w:r>
    </w:p>
    <w:p/>
    <w:p>
      <w:pPr>
        <w:spacing w:before="240" w:after="80"/>
        <w:jc w:val="left"/>
      </w:pPr>
      <w:r>
        <w:rPr>
          <w:rFonts w:ascii="Times New Roman" w:hAnsi="Times New Roman"/>
          <w:b/>
          <w:i w:val="0"/>
          <w:sz w:val="24"/>
        </w:rPr>
        <w:t>Abstract</w:t>
      </w:r>
    </w:p>
    <w:p>
      <w:pPr>
        <w:spacing w:after="120"/>
        <w:jc w:val="both"/>
      </w:pPr>
      <w:r>
        <w:rPr>
          <w:rFonts w:ascii="Times New Roman" w:hAnsi="Times New Roman"/>
          <w:b w:val="0"/>
          <w:i w:val="0"/>
          <w:sz w:val="22"/>
        </w:rPr>
        <w:t>Accurate prediction of oil recovery factor (ORF) is critical for the economic evaluation and optimisation of polymer flood enhanced oil recovery (EOR) operations. This study presents a systematic benchmarking of four deep learning (DL) architectures — Multilayer Perceptron (MLP), one-dimensional Convolutional Neural Network (CNN-1D), Long Short-Term Memory (LSTM), and a Tabular Transformer — against four established shallow machine learning (ML) algorithms — Random Forest (RF), Extreme Gradient Boosting (XGBoost), Support Vector Regression (SVR), and Gradient Boosting (GBM) — for ORF prediction using a polymer flood reservoir simulation proxy dataset (n = 3,591; 14 engineered features). Deep learning models were trained on a fixed 70/15/15 % train/validation/test partition, while shallow ML models were evaluated via 10-fold cross-validation on the full dataset to provide unbiased out-of-fold (OOF) generalisation estimates. Four performance metrics — coefficient of determination (R²), root mean squared error (RMSE), mean absolute error (MAE), and mean absolute percentage error (MAPE) — were computed across all splits. The Transformer achieved the highest test R² (0.9477, RMSE = 0.1423) among DL models, while Gradient Boosting led the ML category (OOF R² = 0.9468, RMSE = 0.1482). The LSTM exhibited comparatively weaker performance (R² = 0.7042), indicating that purely sequential architectures are ill-suited to tabular reservoir data without temporal ordering. Permutation feature importance analysis identified oil viscosity, formation water mobility (FWM), and reservoir temperature as the dominant predictors. These findings provide practical guidance for selecting surrogate models in polymer flood design and optimisation workflows.</w:t>
      </w:r>
    </w:p>
    <w:p>
      <w:pPr>
        <w:spacing w:after="280"/>
        <w:jc w:val="both"/>
      </w:pPr>
      <w:r>
        <w:rPr>
          <w:rFonts w:ascii="Times New Roman" w:hAnsi="Times New Roman"/>
          <w:b/>
          <w:i w:val="0"/>
          <w:sz w:val="22"/>
        </w:rPr>
        <w:t xml:space="preserve">Keywords: </w:t>
      </w:r>
      <w:r>
        <w:rPr>
          <w:rFonts w:ascii="Times New Roman" w:hAnsi="Times New Roman"/>
          <w:b w:val="0"/>
          <w:i/>
          <w:sz w:val="22"/>
        </w:rPr>
        <w:t>oil recovery factor; polymer flooding; deep learning; machine learning; surrogate model; reservoir simulation; XGBoost; Transformer</w:t>
      </w:r>
    </w:p>
    <w:p>
      <w:r>
        <w:br w:type="page"/>
      </w:r>
    </w:p>
    <w:p>
      <w:pPr>
        <w:spacing w:before="240" w:after="80"/>
        <w:jc w:val="left"/>
      </w:pPr>
      <w:r>
        <w:rPr>
          <w:rFonts w:ascii="Times New Roman" w:hAnsi="Times New Roman"/>
          <w:b/>
          <w:i w:val="0"/>
          <w:sz w:val="26"/>
        </w:rPr>
        <w:t>1. Introduction</w:t>
      </w:r>
    </w:p>
    <w:p>
      <w:pPr>
        <w:spacing w:after="120"/>
        <w:ind w:firstLine="567"/>
        <w:jc w:val="both"/>
      </w:pPr>
      <w:r>
        <w:rPr>
          <w:rFonts w:ascii="Times New Roman" w:hAnsi="Times New Roman"/>
          <w:b w:val="0"/>
          <w:i w:val="0"/>
          <w:sz w:val="22"/>
        </w:rPr>
        <w:t>Polymer flooding is one of the most widely deployed chemical enhanced oil recovery (EOR) techniques, capable of improving sweep efficiency by increasing the displacing fluid viscosity and thus reducing the mobility ratio between injected and reservoir fluids (Lake, 1989). Numerical reservoir simulation remains the gold standard for evaluating polymer flood performance; however, full-physics simulation of complex heterogeneous reservoirs is computationally prohibitive when thousands of scenario evaluations are required for uncertainty quantification, history matching, or production optimisation (Christie &amp; Blunt, 2001).</w:t>
      </w:r>
    </w:p>
    <w:p>
      <w:pPr>
        <w:spacing w:after="120"/>
        <w:ind w:firstLine="567"/>
        <w:jc w:val="both"/>
      </w:pPr>
      <w:r>
        <w:rPr>
          <w:rFonts w:ascii="Times New Roman" w:hAnsi="Times New Roman"/>
          <w:b w:val="0"/>
          <w:i w:val="0"/>
          <w:sz w:val="22"/>
        </w:rPr>
        <w:t>Data-driven surrogate or proxy models offer a computationally efficient alternative: once trained on a representative simulation ensemble, they can replicate simulator outputs orders of magnitude faster (Mohaghegh, 2011; Nwachukwu et al., 2018). Classical shallow ML algorithms such as Random Forest (Breiman, 2001) and gradient-boosted trees (Chen &amp; Guestrin, 2016) have demonstrated strong predictive performance on tabular reservoir data (Zhong et al., 2020; Tariq et al., 2021). More recently, deep learning architectures — including convolutional and recurrent networks — have been applied to petroleum engineering problems, motivated by their capacity to learn hierarchical feature representations without extensive manual feature engineering (LeCun et al., 2015; Hochreiter &amp; Schmidhuber, 1997).</w:t>
      </w:r>
    </w:p>
    <w:p>
      <w:pPr>
        <w:spacing w:after="120"/>
        <w:ind w:firstLine="567"/>
        <w:jc w:val="both"/>
      </w:pPr>
      <w:r>
        <w:rPr>
          <w:rFonts w:ascii="Times New Roman" w:hAnsi="Times New Roman"/>
          <w:b w:val="0"/>
          <w:i w:val="0"/>
          <w:sz w:val="22"/>
        </w:rPr>
        <w:t>Despite a growing body of individual studies, a rigorous, controlled comparison of DL and shallow ML specifically for polymer flood ORF prediction, using consistent evaluation protocols across both model families, remains absent from the literature. Most existing comparisons use different train-test splits, varied feature sets, or incompatible metrics, making cross-study conclusions unreliable. Furthermore, the suitability of sequence-oriented DL architectures (LSTM, Transformer) for inherently tabular, non-sequential reservoir proxy data has not been systematically investigated.</w:t>
      </w:r>
    </w:p>
    <w:p>
      <w:pPr>
        <w:spacing w:after="120"/>
        <w:ind w:firstLine="567"/>
        <w:jc w:val="both"/>
      </w:pPr>
      <w:r>
        <w:rPr>
          <w:rFonts w:ascii="Times New Roman" w:hAnsi="Times New Roman"/>
          <w:b w:val="0"/>
          <w:i w:val="0"/>
          <w:sz w:val="22"/>
        </w:rPr>
        <w:t>This study addresses these gaps by: (i) constructing a standardised benchmarking framework with identical pre-processing, hyperparameter budgets, and evaluation metrics for all eight models; (ii) applying a 10-fold cross-validation protocol for ML models on the full dataset to eliminate hold-out sensitivity; (iii) conducting permutation-based feature importance analysis to identify the dominant reservoir and fluid properties governing ORF; and (iv) providing comprehensive residual and error-distribution diagnostics to assess model reliability beyond summary statistics.</w:t>
      </w:r>
    </w:p>
    <w:p>
      <w:pPr>
        <w:spacing w:before="240" w:after="80"/>
        <w:jc w:val="left"/>
      </w:pPr>
      <w:r>
        <w:rPr>
          <w:rFonts w:ascii="Times New Roman" w:hAnsi="Times New Roman"/>
          <w:b/>
          <w:i w:val="0"/>
          <w:sz w:val="26"/>
        </w:rPr>
        <w:t>2. Dataset and Exploratory Data Analysis</w:t>
      </w:r>
    </w:p>
    <w:p>
      <w:pPr>
        <w:spacing w:before="240" w:after="80"/>
        <w:jc w:val="left"/>
      </w:pPr>
      <w:r>
        <w:rPr>
          <w:rFonts w:ascii="Times New Roman" w:hAnsi="Times New Roman"/>
          <w:b/>
          <w:i w:val="0"/>
          <w:sz w:val="24"/>
        </w:rPr>
        <w:t>2.1 Dataset Description</w:t>
      </w:r>
    </w:p>
    <w:p>
      <w:pPr>
        <w:spacing w:after="120"/>
        <w:ind w:firstLine="567"/>
        <w:jc w:val="both"/>
      </w:pPr>
      <w:r>
        <w:rPr>
          <w:rFonts w:ascii="Times New Roman" w:hAnsi="Times New Roman"/>
          <w:b w:val="0"/>
          <w:i w:val="0"/>
          <w:sz w:val="22"/>
        </w:rPr>
        <w:t>The dataset (Proxy5.csv) consists of 3,591 samples generated from a polymer flood reservoir simulation proxy model. Each sample represents a unique combination of reservoir, fluid, and injection parameters. The dataset contains 14 input features and one continuous target variable, the oil recovery factor (ORF, %). Table 1 provides a summary of the feature nomenclature, units, and statistical descriptors. The target variable ranges from 0.024 % to 5.859 %, with a mean of 0.650 % and a median of 0.448 %, indicating a strongly right-skewed distribution characteristic of polymer flood simulations where most realisations yield modest recoveries and only a small fraction achieves high recovery.</w:t>
      </w:r>
    </w:p>
    <w:p>
      <w:pPr>
        <w:spacing w:before="240" w:after="80"/>
        <w:jc w:val="left"/>
      </w:pPr>
      <w:r>
        <w:rPr>
          <w:rFonts w:ascii="Times New Roman" w:hAnsi="Times New Roman"/>
          <w:b/>
          <w:i w:val="0"/>
          <w:sz w:val="20"/>
        </w:rPr>
        <w:t>Table 1. Descriptive statistics of all variables (n = 3,591).</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vAlign w:val="center"/>
            <w:shd w:val="clear" w:color="auto" w:fill="2F5496"/>
          </w:tcPr>
          <w:p>
            <w:pPr>
              <w:jc w:val="center"/>
            </w:pPr>
            <w:r>
              <w:rPr>
                <w:rFonts w:ascii="Times New Roman" w:hAnsi="Times New Roman"/>
                <w:b/>
                <w:i w:val="0"/>
                <w:sz w:val="18"/>
              </w:rPr>
              <w:t>Variable</w:t>
            </w:r>
          </w:p>
        </w:tc>
        <w:tc>
          <w:tcPr>
            <w:tcW w:type="dxa" w:w="1337"/>
            <w:vAlign w:val="center"/>
            <w:shd w:val="clear" w:color="auto" w:fill="2F5496"/>
          </w:tcPr>
          <w:p>
            <w:pPr>
              <w:jc w:val="center"/>
            </w:pPr>
            <w:r>
              <w:rPr>
                <w:rFonts w:ascii="Times New Roman" w:hAnsi="Times New Roman"/>
                <w:b/>
                <w:i w:val="0"/>
                <w:sz w:val="18"/>
              </w:rPr>
              <w:t>Unit</w:t>
            </w:r>
          </w:p>
        </w:tc>
        <w:tc>
          <w:tcPr>
            <w:tcW w:type="dxa" w:w="1337"/>
            <w:vAlign w:val="center"/>
            <w:shd w:val="clear" w:color="auto" w:fill="2F5496"/>
          </w:tcPr>
          <w:p>
            <w:pPr>
              <w:jc w:val="center"/>
            </w:pPr>
            <w:r>
              <w:rPr>
                <w:rFonts w:ascii="Times New Roman" w:hAnsi="Times New Roman"/>
                <w:b/>
                <w:i w:val="0"/>
                <w:sz w:val="18"/>
              </w:rPr>
              <w:t>Min</w:t>
            </w:r>
          </w:p>
        </w:tc>
        <w:tc>
          <w:tcPr>
            <w:tcW w:type="dxa" w:w="1337"/>
            <w:vAlign w:val="center"/>
            <w:shd w:val="clear" w:color="auto" w:fill="2F5496"/>
          </w:tcPr>
          <w:p>
            <w:pPr>
              <w:jc w:val="center"/>
            </w:pPr>
            <w:r>
              <w:rPr>
                <w:rFonts w:ascii="Times New Roman" w:hAnsi="Times New Roman"/>
                <w:b/>
                <w:i w:val="0"/>
                <w:sz w:val="18"/>
              </w:rPr>
              <w:t>Mean</w:t>
            </w:r>
          </w:p>
        </w:tc>
        <w:tc>
          <w:tcPr>
            <w:tcW w:type="dxa" w:w="1337"/>
            <w:vAlign w:val="center"/>
            <w:shd w:val="clear" w:color="auto" w:fill="2F5496"/>
          </w:tcPr>
          <w:p>
            <w:pPr>
              <w:jc w:val="center"/>
            </w:pPr>
            <w:r>
              <w:rPr>
                <w:rFonts w:ascii="Times New Roman" w:hAnsi="Times New Roman"/>
                <w:b/>
                <w:i w:val="0"/>
                <w:sz w:val="18"/>
              </w:rPr>
              <w:t>Median</w:t>
            </w:r>
          </w:p>
        </w:tc>
        <w:tc>
          <w:tcPr>
            <w:tcW w:type="dxa" w:w="1337"/>
            <w:vAlign w:val="center"/>
            <w:shd w:val="clear" w:color="auto" w:fill="2F5496"/>
          </w:tcPr>
          <w:p>
            <w:pPr>
              <w:jc w:val="center"/>
            </w:pPr>
            <w:r>
              <w:rPr>
                <w:rFonts w:ascii="Times New Roman" w:hAnsi="Times New Roman"/>
                <w:b/>
                <w:i w:val="0"/>
                <w:sz w:val="18"/>
              </w:rPr>
              <w:t>Max</w:t>
            </w:r>
          </w:p>
        </w:tc>
        <w:tc>
          <w:tcPr>
            <w:tcW w:type="dxa" w:w="1337"/>
            <w:vAlign w:val="center"/>
            <w:shd w:val="clear" w:color="auto" w:fill="2F5496"/>
          </w:tcPr>
          <w:p>
            <w:pPr>
              <w:jc w:val="center"/>
            </w:pPr>
            <w:r>
              <w:rPr>
                <w:rFonts w:ascii="Times New Roman" w:hAnsi="Times New Roman"/>
                <w:b/>
                <w:i w:val="0"/>
                <w:sz w:val="18"/>
              </w:rPr>
              <w:t>Std</w:t>
            </w:r>
          </w:p>
        </w:tc>
      </w:tr>
      <w:tr>
        <w:tc>
          <w:tcPr>
            <w:tcW w:type="dxa" w:w="1337"/>
            <w:vAlign w:val="center"/>
            <w:shd w:val="clear" w:color="auto" w:fill="D6E4F7"/>
          </w:tcPr>
          <w:p>
            <w:pPr>
              <w:jc w:val="center"/>
            </w:pPr>
            <w:r>
              <w:rPr>
                <w:rFonts w:ascii="Times New Roman" w:hAnsi="Times New Roman"/>
                <w:b w:val="0"/>
                <w:i w:val="0"/>
                <w:sz w:val="18"/>
              </w:rPr>
              <w:t>APV</w:t>
            </w:r>
          </w:p>
        </w:tc>
        <w:tc>
          <w:tcPr>
            <w:tcW w:type="dxa" w:w="1337"/>
            <w:vAlign w:val="center"/>
            <w:shd w:val="clear" w:color="auto" w:fill="D6E4F7"/>
          </w:tcPr>
          <w:p>
            <w:pPr>
              <w:jc w:val="center"/>
            </w:pPr>
            <w:r>
              <w:rPr>
                <w:rFonts w:ascii="Times New Roman" w:hAnsi="Times New Roman"/>
                <w:b w:val="0"/>
                <w:i w:val="0"/>
                <w:sz w:val="18"/>
              </w:rPr>
              <w:t>–</w:t>
            </w:r>
          </w:p>
        </w:tc>
        <w:tc>
          <w:tcPr>
            <w:tcW w:type="dxa" w:w="1337"/>
            <w:vAlign w:val="center"/>
            <w:shd w:val="clear" w:color="auto" w:fill="D6E4F7"/>
          </w:tcPr>
          <w:p>
            <w:pPr>
              <w:jc w:val="center"/>
            </w:pPr>
            <w:r>
              <w:rPr>
                <w:rFonts w:ascii="Times New Roman" w:hAnsi="Times New Roman"/>
                <w:b w:val="0"/>
                <w:i w:val="0"/>
                <w:sz w:val="18"/>
              </w:rPr>
              <w:t>0.650</w:t>
            </w:r>
          </w:p>
        </w:tc>
        <w:tc>
          <w:tcPr>
            <w:tcW w:type="dxa" w:w="1337"/>
            <w:vAlign w:val="center"/>
            <w:shd w:val="clear" w:color="auto" w:fill="D6E4F7"/>
          </w:tcPr>
          <w:p>
            <w:pPr>
              <w:jc w:val="center"/>
            </w:pPr>
            <w:r>
              <w:rPr>
                <w:rFonts w:ascii="Times New Roman" w:hAnsi="Times New Roman"/>
                <w:b w:val="0"/>
                <w:i w:val="0"/>
                <w:sz w:val="18"/>
              </w:rPr>
              <w:t>0.799</w:t>
            </w:r>
          </w:p>
        </w:tc>
        <w:tc>
          <w:tcPr>
            <w:tcW w:type="dxa" w:w="1337"/>
            <w:vAlign w:val="center"/>
            <w:shd w:val="clear" w:color="auto" w:fill="D6E4F7"/>
          </w:tcPr>
          <w:p>
            <w:pPr>
              <w:jc w:val="center"/>
            </w:pPr>
            <w:r>
              <w:rPr>
                <w:rFonts w:ascii="Times New Roman" w:hAnsi="Times New Roman"/>
                <w:b w:val="0"/>
                <w:i w:val="0"/>
                <w:sz w:val="18"/>
              </w:rPr>
              <w:t>0.798</w:t>
            </w:r>
          </w:p>
        </w:tc>
        <w:tc>
          <w:tcPr>
            <w:tcW w:type="dxa" w:w="1337"/>
            <w:vAlign w:val="center"/>
            <w:shd w:val="clear" w:color="auto" w:fill="D6E4F7"/>
          </w:tcPr>
          <w:p>
            <w:pPr>
              <w:jc w:val="center"/>
            </w:pPr>
            <w:r>
              <w:rPr>
                <w:rFonts w:ascii="Times New Roman" w:hAnsi="Times New Roman"/>
                <w:b w:val="0"/>
                <w:i w:val="0"/>
                <w:sz w:val="18"/>
              </w:rPr>
              <w:t>0.950</w:t>
            </w:r>
          </w:p>
        </w:tc>
        <w:tc>
          <w:tcPr>
            <w:tcW w:type="dxa" w:w="1337"/>
            <w:vAlign w:val="center"/>
            <w:shd w:val="clear" w:color="auto" w:fill="D6E4F7"/>
          </w:tcPr>
          <w:p>
            <w:pPr>
              <w:jc w:val="center"/>
            </w:pPr>
            <w:r>
              <w:rPr>
                <w:rFonts w:ascii="Times New Roman" w:hAnsi="Times New Roman"/>
                <w:b w:val="0"/>
                <w:i w:val="0"/>
                <w:sz w:val="18"/>
              </w:rPr>
              <w:t>0.087</w:t>
            </w:r>
          </w:p>
        </w:tc>
      </w:tr>
      <w:tr>
        <w:tc>
          <w:tcPr>
            <w:tcW w:type="dxa" w:w="1337"/>
            <w:vAlign w:val="center"/>
          </w:tcPr>
          <w:p>
            <w:pPr>
              <w:jc w:val="center"/>
            </w:pPr>
            <w:r>
              <w:rPr>
                <w:rFonts w:ascii="Times New Roman" w:hAnsi="Times New Roman"/>
                <w:b w:val="0"/>
                <w:i w:val="0"/>
                <w:sz w:val="18"/>
              </w:rPr>
              <w:t>Adsorption</w:t>
            </w:r>
          </w:p>
        </w:tc>
        <w:tc>
          <w:tcPr>
            <w:tcW w:type="dxa" w:w="1337"/>
            <w:vAlign w:val="center"/>
          </w:tcPr>
          <w:p>
            <w:pPr>
              <w:jc w:val="center"/>
            </w:pPr>
            <w:r>
              <w:rPr>
                <w:rFonts w:ascii="Times New Roman" w:hAnsi="Times New Roman"/>
                <w:b w:val="0"/>
                <w:i w:val="0"/>
                <w:sz w:val="18"/>
              </w:rPr>
              <w:t>µg/g</w:t>
            </w:r>
          </w:p>
        </w:tc>
        <w:tc>
          <w:tcPr>
            <w:tcW w:type="dxa" w:w="1337"/>
            <w:vAlign w:val="center"/>
          </w:tcPr>
          <w:p>
            <w:pPr>
              <w:jc w:val="center"/>
            </w:pPr>
            <w:r>
              <w:rPr>
                <w:rFonts w:ascii="Times New Roman" w:hAnsi="Times New Roman"/>
                <w:b w:val="0"/>
                <w:i w:val="0"/>
                <w:sz w:val="18"/>
              </w:rPr>
              <w:t>0.000</w:t>
            </w:r>
          </w:p>
        </w:tc>
        <w:tc>
          <w:tcPr>
            <w:tcW w:type="dxa" w:w="1337"/>
            <w:vAlign w:val="center"/>
          </w:tcPr>
          <w:p>
            <w:pPr>
              <w:jc w:val="center"/>
            </w:pPr>
            <w:r>
              <w:rPr>
                <w:rFonts w:ascii="Times New Roman" w:hAnsi="Times New Roman"/>
                <w:b w:val="0"/>
                <w:i w:val="0"/>
                <w:sz w:val="18"/>
              </w:rPr>
              <w:t>0.000</w:t>
            </w:r>
          </w:p>
        </w:tc>
        <w:tc>
          <w:tcPr>
            <w:tcW w:type="dxa" w:w="1337"/>
            <w:vAlign w:val="center"/>
          </w:tcPr>
          <w:p>
            <w:pPr>
              <w:jc w:val="center"/>
            </w:pPr>
            <w:r>
              <w:rPr>
                <w:rFonts w:ascii="Times New Roman" w:hAnsi="Times New Roman"/>
                <w:b w:val="0"/>
                <w:i w:val="0"/>
                <w:sz w:val="18"/>
              </w:rPr>
              <w:t>0.000</w:t>
            </w:r>
          </w:p>
        </w:tc>
        <w:tc>
          <w:tcPr>
            <w:tcW w:type="dxa" w:w="1337"/>
            <w:vAlign w:val="center"/>
          </w:tcPr>
          <w:p>
            <w:pPr>
              <w:jc w:val="center"/>
            </w:pPr>
            <w:r>
              <w:rPr>
                <w:rFonts w:ascii="Times New Roman" w:hAnsi="Times New Roman"/>
                <w:b w:val="0"/>
                <w:i w:val="0"/>
                <w:sz w:val="18"/>
              </w:rPr>
              <w:t>0.000</w:t>
            </w:r>
          </w:p>
        </w:tc>
        <w:tc>
          <w:tcPr>
            <w:tcW w:type="dxa" w:w="1337"/>
            <w:vAlign w:val="center"/>
          </w:tcPr>
          <w:p>
            <w:pPr>
              <w:jc w:val="center"/>
            </w:pPr>
            <w:r>
              <w:rPr>
                <w:rFonts w:ascii="Times New Roman" w:hAnsi="Times New Roman"/>
                <w:b w:val="0"/>
                <w:i w:val="0"/>
                <w:sz w:val="18"/>
              </w:rPr>
              <w:t>0.000</w:t>
            </w:r>
          </w:p>
        </w:tc>
      </w:tr>
      <w:tr>
        <w:tc>
          <w:tcPr>
            <w:tcW w:type="dxa" w:w="1337"/>
            <w:vAlign w:val="center"/>
            <w:shd w:val="clear" w:color="auto" w:fill="D6E4F7"/>
          </w:tcPr>
          <w:p>
            <w:pPr>
              <w:jc w:val="center"/>
            </w:pPr>
            <w:r>
              <w:rPr>
                <w:rFonts w:ascii="Times New Roman" w:hAnsi="Times New Roman"/>
                <w:b w:val="0"/>
                <w:i w:val="0"/>
                <w:sz w:val="18"/>
              </w:rPr>
              <w:t>Rock compressibility</w:t>
            </w:r>
          </w:p>
        </w:tc>
        <w:tc>
          <w:tcPr>
            <w:tcW w:type="dxa" w:w="1337"/>
            <w:vAlign w:val="center"/>
            <w:shd w:val="clear" w:color="auto" w:fill="D6E4F7"/>
          </w:tcPr>
          <w:p>
            <w:pPr>
              <w:jc w:val="center"/>
            </w:pPr>
            <w:r>
              <w:rPr>
                <w:rFonts w:ascii="Times New Roman" w:hAnsi="Times New Roman"/>
                <w:b w:val="0"/>
                <w:i w:val="0"/>
                <w:sz w:val="18"/>
              </w:rPr>
              <w:t>1/psi</w:t>
            </w:r>
          </w:p>
        </w:tc>
        <w:tc>
          <w:tcPr>
            <w:tcW w:type="dxa" w:w="1337"/>
            <w:vAlign w:val="center"/>
            <w:shd w:val="clear" w:color="auto" w:fill="D6E4F7"/>
          </w:tcPr>
          <w:p>
            <w:pPr>
              <w:jc w:val="center"/>
            </w:pPr>
            <w:r>
              <w:rPr>
                <w:rFonts w:ascii="Times New Roman" w:hAnsi="Times New Roman"/>
                <w:b w:val="0"/>
                <w:i w:val="0"/>
                <w:sz w:val="18"/>
              </w:rPr>
              <w:t>0.000</w:t>
            </w:r>
          </w:p>
        </w:tc>
        <w:tc>
          <w:tcPr>
            <w:tcW w:type="dxa" w:w="1337"/>
            <w:vAlign w:val="center"/>
            <w:shd w:val="clear" w:color="auto" w:fill="D6E4F7"/>
          </w:tcPr>
          <w:p>
            <w:pPr>
              <w:jc w:val="center"/>
            </w:pPr>
            <w:r>
              <w:rPr>
                <w:rFonts w:ascii="Times New Roman" w:hAnsi="Times New Roman"/>
                <w:b w:val="0"/>
                <w:i w:val="0"/>
                <w:sz w:val="18"/>
              </w:rPr>
              <w:t>0.000</w:t>
            </w:r>
          </w:p>
        </w:tc>
        <w:tc>
          <w:tcPr>
            <w:tcW w:type="dxa" w:w="1337"/>
            <w:vAlign w:val="center"/>
            <w:shd w:val="clear" w:color="auto" w:fill="D6E4F7"/>
          </w:tcPr>
          <w:p>
            <w:pPr>
              <w:jc w:val="center"/>
            </w:pPr>
            <w:r>
              <w:rPr>
                <w:rFonts w:ascii="Times New Roman" w:hAnsi="Times New Roman"/>
                <w:b w:val="0"/>
                <w:i w:val="0"/>
                <w:sz w:val="18"/>
              </w:rPr>
              <w:t>0.000</w:t>
            </w:r>
          </w:p>
        </w:tc>
        <w:tc>
          <w:tcPr>
            <w:tcW w:type="dxa" w:w="1337"/>
            <w:vAlign w:val="center"/>
            <w:shd w:val="clear" w:color="auto" w:fill="D6E4F7"/>
          </w:tcPr>
          <w:p>
            <w:pPr>
              <w:jc w:val="center"/>
            </w:pPr>
            <w:r>
              <w:rPr>
                <w:rFonts w:ascii="Times New Roman" w:hAnsi="Times New Roman"/>
                <w:b w:val="0"/>
                <w:i w:val="0"/>
                <w:sz w:val="18"/>
              </w:rPr>
              <w:t>0.000</w:t>
            </w:r>
          </w:p>
        </w:tc>
        <w:tc>
          <w:tcPr>
            <w:tcW w:type="dxa" w:w="1337"/>
            <w:vAlign w:val="center"/>
            <w:shd w:val="clear" w:color="auto" w:fill="D6E4F7"/>
          </w:tcPr>
          <w:p>
            <w:pPr>
              <w:jc w:val="center"/>
            </w:pPr>
            <w:r>
              <w:rPr>
                <w:rFonts w:ascii="Times New Roman" w:hAnsi="Times New Roman"/>
                <w:b w:val="0"/>
                <w:i w:val="0"/>
                <w:sz w:val="18"/>
              </w:rPr>
              <w:t>0.000</w:t>
            </w:r>
          </w:p>
        </w:tc>
      </w:tr>
      <w:tr>
        <w:tc>
          <w:tcPr>
            <w:tcW w:type="dxa" w:w="1337"/>
            <w:vAlign w:val="center"/>
          </w:tcPr>
          <w:p>
            <w:pPr>
              <w:jc w:val="center"/>
            </w:pPr>
            <w:r>
              <w:rPr>
                <w:rFonts w:ascii="Times New Roman" w:hAnsi="Times New Roman"/>
                <w:b w:val="0"/>
                <w:i w:val="0"/>
                <w:sz w:val="18"/>
              </w:rPr>
              <w:t>FWM</w:t>
            </w:r>
          </w:p>
        </w:tc>
        <w:tc>
          <w:tcPr>
            <w:tcW w:type="dxa" w:w="1337"/>
            <w:vAlign w:val="center"/>
          </w:tcPr>
          <w:p>
            <w:pPr>
              <w:jc w:val="center"/>
            </w:pPr>
            <w:r>
              <w:rPr>
                <w:rFonts w:ascii="Times New Roman" w:hAnsi="Times New Roman"/>
                <w:b w:val="0"/>
                <w:i w:val="0"/>
                <w:sz w:val="18"/>
              </w:rPr>
              <w:t>–</w:t>
            </w:r>
          </w:p>
        </w:tc>
        <w:tc>
          <w:tcPr>
            <w:tcW w:type="dxa" w:w="1337"/>
            <w:vAlign w:val="center"/>
          </w:tcPr>
          <w:p>
            <w:pPr>
              <w:jc w:val="center"/>
            </w:pPr>
            <w:r>
              <w:rPr>
                <w:rFonts w:ascii="Times New Roman" w:hAnsi="Times New Roman"/>
                <w:b w:val="0"/>
                <w:i w:val="0"/>
                <w:sz w:val="18"/>
              </w:rPr>
              <w:t>0.360</w:t>
            </w:r>
          </w:p>
        </w:tc>
        <w:tc>
          <w:tcPr>
            <w:tcW w:type="dxa" w:w="1337"/>
            <w:vAlign w:val="center"/>
          </w:tcPr>
          <w:p>
            <w:pPr>
              <w:jc w:val="center"/>
            </w:pPr>
            <w:r>
              <w:rPr>
                <w:rFonts w:ascii="Times New Roman" w:hAnsi="Times New Roman"/>
                <w:b w:val="0"/>
                <w:i w:val="0"/>
                <w:sz w:val="18"/>
              </w:rPr>
              <w:t>0.410</w:t>
            </w:r>
          </w:p>
        </w:tc>
        <w:tc>
          <w:tcPr>
            <w:tcW w:type="dxa" w:w="1337"/>
            <w:vAlign w:val="center"/>
          </w:tcPr>
          <w:p>
            <w:pPr>
              <w:jc w:val="center"/>
            </w:pPr>
            <w:r>
              <w:rPr>
                <w:rFonts w:ascii="Times New Roman" w:hAnsi="Times New Roman"/>
                <w:b w:val="0"/>
                <w:i w:val="0"/>
                <w:sz w:val="18"/>
              </w:rPr>
              <w:t>0.410</w:t>
            </w:r>
          </w:p>
        </w:tc>
        <w:tc>
          <w:tcPr>
            <w:tcW w:type="dxa" w:w="1337"/>
            <w:vAlign w:val="center"/>
          </w:tcPr>
          <w:p>
            <w:pPr>
              <w:jc w:val="center"/>
            </w:pPr>
            <w:r>
              <w:rPr>
                <w:rFonts w:ascii="Times New Roman" w:hAnsi="Times New Roman"/>
                <w:b w:val="0"/>
                <w:i w:val="0"/>
                <w:sz w:val="18"/>
              </w:rPr>
              <w:t>0.460</w:t>
            </w:r>
          </w:p>
        </w:tc>
        <w:tc>
          <w:tcPr>
            <w:tcW w:type="dxa" w:w="1337"/>
            <w:vAlign w:val="center"/>
          </w:tcPr>
          <w:p>
            <w:pPr>
              <w:jc w:val="center"/>
            </w:pPr>
            <w:r>
              <w:rPr>
                <w:rFonts w:ascii="Times New Roman" w:hAnsi="Times New Roman"/>
                <w:b w:val="0"/>
                <w:i w:val="0"/>
                <w:sz w:val="18"/>
              </w:rPr>
              <w:t>0.029</w:t>
            </w:r>
          </w:p>
        </w:tc>
      </w:tr>
      <w:tr>
        <w:tc>
          <w:tcPr>
            <w:tcW w:type="dxa" w:w="1337"/>
            <w:vAlign w:val="center"/>
            <w:shd w:val="clear" w:color="auto" w:fill="D6E4F7"/>
          </w:tcPr>
          <w:p>
            <w:pPr>
              <w:jc w:val="center"/>
            </w:pPr>
            <w:r>
              <w:rPr>
                <w:rFonts w:ascii="Times New Roman" w:hAnsi="Times New Roman"/>
                <w:b w:val="0"/>
                <w:i w:val="0"/>
                <w:sz w:val="18"/>
              </w:rPr>
              <w:t>Injection temperature</w:t>
            </w:r>
          </w:p>
        </w:tc>
        <w:tc>
          <w:tcPr>
            <w:tcW w:type="dxa" w:w="1337"/>
            <w:vAlign w:val="center"/>
            <w:shd w:val="clear" w:color="auto" w:fill="D6E4F7"/>
          </w:tcPr>
          <w:p>
            <w:pPr>
              <w:jc w:val="center"/>
            </w:pPr>
            <w:r>
              <w:rPr>
                <w:rFonts w:ascii="Times New Roman" w:hAnsi="Times New Roman"/>
                <w:b w:val="0"/>
                <w:i w:val="0"/>
                <w:sz w:val="18"/>
              </w:rPr>
              <w:t>°F</w:t>
            </w:r>
          </w:p>
        </w:tc>
        <w:tc>
          <w:tcPr>
            <w:tcW w:type="dxa" w:w="1337"/>
            <w:vAlign w:val="center"/>
            <w:shd w:val="clear" w:color="auto" w:fill="D6E4F7"/>
          </w:tcPr>
          <w:p>
            <w:pPr>
              <w:jc w:val="center"/>
            </w:pPr>
            <w:r>
              <w:rPr>
                <w:rFonts w:ascii="Times New Roman" w:hAnsi="Times New Roman"/>
                <w:b w:val="0"/>
                <w:i w:val="0"/>
                <w:sz w:val="18"/>
              </w:rPr>
              <w:t>60.0</w:t>
            </w:r>
          </w:p>
        </w:tc>
        <w:tc>
          <w:tcPr>
            <w:tcW w:type="dxa" w:w="1337"/>
            <w:vAlign w:val="center"/>
            <w:shd w:val="clear" w:color="auto" w:fill="D6E4F7"/>
          </w:tcPr>
          <w:p>
            <w:pPr>
              <w:jc w:val="center"/>
            </w:pPr>
            <w:r>
              <w:rPr>
                <w:rFonts w:ascii="Times New Roman" w:hAnsi="Times New Roman"/>
                <w:b w:val="0"/>
                <w:i w:val="0"/>
                <w:sz w:val="18"/>
              </w:rPr>
              <w:t>99.8</w:t>
            </w:r>
          </w:p>
        </w:tc>
        <w:tc>
          <w:tcPr>
            <w:tcW w:type="dxa" w:w="1337"/>
            <w:vAlign w:val="center"/>
            <w:shd w:val="clear" w:color="auto" w:fill="D6E4F7"/>
          </w:tcPr>
          <w:p>
            <w:pPr>
              <w:jc w:val="center"/>
            </w:pPr>
            <w:r>
              <w:rPr>
                <w:rFonts w:ascii="Times New Roman" w:hAnsi="Times New Roman"/>
                <w:b w:val="0"/>
                <w:i w:val="0"/>
                <w:sz w:val="18"/>
              </w:rPr>
              <w:t>100.5</w:t>
            </w:r>
          </w:p>
        </w:tc>
        <w:tc>
          <w:tcPr>
            <w:tcW w:type="dxa" w:w="1337"/>
            <w:vAlign w:val="center"/>
            <w:shd w:val="clear" w:color="auto" w:fill="D6E4F7"/>
          </w:tcPr>
          <w:p>
            <w:pPr>
              <w:jc w:val="center"/>
            </w:pPr>
            <w:r>
              <w:rPr>
                <w:rFonts w:ascii="Times New Roman" w:hAnsi="Times New Roman"/>
                <w:b w:val="0"/>
                <w:i w:val="0"/>
                <w:sz w:val="18"/>
              </w:rPr>
              <w:t>140.0</w:t>
            </w:r>
          </w:p>
        </w:tc>
        <w:tc>
          <w:tcPr>
            <w:tcW w:type="dxa" w:w="1337"/>
            <w:vAlign w:val="center"/>
            <w:shd w:val="clear" w:color="auto" w:fill="D6E4F7"/>
          </w:tcPr>
          <w:p>
            <w:pPr>
              <w:jc w:val="center"/>
            </w:pPr>
            <w:r>
              <w:rPr>
                <w:rFonts w:ascii="Times New Roman" w:hAnsi="Times New Roman"/>
                <w:b w:val="0"/>
                <w:i w:val="0"/>
                <w:sz w:val="18"/>
              </w:rPr>
              <w:t>23.2</w:t>
            </w:r>
          </w:p>
        </w:tc>
      </w:tr>
      <w:tr>
        <w:tc>
          <w:tcPr>
            <w:tcW w:type="dxa" w:w="1337"/>
            <w:vAlign w:val="center"/>
          </w:tcPr>
          <w:p>
            <w:pPr>
              <w:jc w:val="center"/>
            </w:pPr>
            <w:r>
              <w:rPr>
                <w:rFonts w:ascii="Times New Roman" w:hAnsi="Times New Roman"/>
                <w:b w:val="0"/>
                <w:i w:val="0"/>
                <w:sz w:val="18"/>
              </w:rPr>
              <w:t>Oil viscosity</w:t>
            </w:r>
          </w:p>
        </w:tc>
        <w:tc>
          <w:tcPr>
            <w:tcW w:type="dxa" w:w="1337"/>
            <w:vAlign w:val="center"/>
          </w:tcPr>
          <w:p>
            <w:pPr>
              <w:jc w:val="center"/>
            </w:pPr>
            <w:r>
              <w:rPr>
                <w:rFonts w:ascii="Times New Roman" w:hAnsi="Times New Roman"/>
                <w:b w:val="0"/>
                <w:i w:val="0"/>
                <w:sz w:val="18"/>
              </w:rPr>
              <w:t>cp</w:t>
            </w:r>
          </w:p>
        </w:tc>
        <w:tc>
          <w:tcPr>
            <w:tcW w:type="dxa" w:w="1337"/>
            <w:vAlign w:val="center"/>
          </w:tcPr>
          <w:p>
            <w:pPr>
              <w:jc w:val="center"/>
            </w:pPr>
            <w:r>
              <w:rPr>
                <w:rFonts w:ascii="Times New Roman" w:hAnsi="Times New Roman"/>
                <w:b w:val="0"/>
                <w:i w:val="0"/>
                <w:sz w:val="18"/>
              </w:rPr>
              <w:t>629.9</w:t>
            </w:r>
          </w:p>
        </w:tc>
        <w:tc>
          <w:tcPr>
            <w:tcW w:type="dxa" w:w="1337"/>
            <w:vAlign w:val="center"/>
          </w:tcPr>
          <w:p>
            <w:pPr>
              <w:jc w:val="center"/>
            </w:pPr>
            <w:r>
              <w:rPr>
                <w:rFonts w:ascii="Times New Roman" w:hAnsi="Times New Roman"/>
                <w:b w:val="0"/>
                <w:i w:val="0"/>
                <w:sz w:val="18"/>
              </w:rPr>
              <w:t>24929</w:t>
            </w:r>
          </w:p>
        </w:tc>
        <w:tc>
          <w:tcPr>
            <w:tcW w:type="dxa" w:w="1337"/>
            <w:vAlign w:val="center"/>
          </w:tcPr>
          <w:p>
            <w:pPr>
              <w:jc w:val="center"/>
            </w:pPr>
            <w:r>
              <w:rPr>
                <w:rFonts w:ascii="Times New Roman" w:hAnsi="Times New Roman"/>
                <w:b w:val="0"/>
                <w:i w:val="0"/>
                <w:sz w:val="18"/>
              </w:rPr>
              <w:t>24655</w:t>
            </w:r>
          </w:p>
        </w:tc>
        <w:tc>
          <w:tcPr>
            <w:tcW w:type="dxa" w:w="1337"/>
            <w:vAlign w:val="center"/>
          </w:tcPr>
          <w:p>
            <w:pPr>
              <w:jc w:val="center"/>
            </w:pPr>
            <w:r>
              <w:rPr>
                <w:rFonts w:ascii="Times New Roman" w:hAnsi="Times New Roman"/>
                <w:b w:val="0"/>
                <w:i w:val="0"/>
                <w:sz w:val="18"/>
              </w:rPr>
              <w:t>49999</w:t>
            </w:r>
          </w:p>
        </w:tc>
        <w:tc>
          <w:tcPr>
            <w:tcW w:type="dxa" w:w="1337"/>
            <w:vAlign w:val="center"/>
          </w:tcPr>
          <w:p>
            <w:pPr>
              <w:jc w:val="center"/>
            </w:pPr>
            <w:r>
              <w:rPr>
                <w:rFonts w:ascii="Times New Roman" w:hAnsi="Times New Roman"/>
                <w:b w:val="0"/>
                <w:i w:val="0"/>
                <w:sz w:val="18"/>
              </w:rPr>
              <w:t>14231</w:t>
            </w:r>
          </w:p>
        </w:tc>
      </w:tr>
      <w:tr>
        <w:tc>
          <w:tcPr>
            <w:tcW w:type="dxa" w:w="1337"/>
            <w:vAlign w:val="center"/>
            <w:shd w:val="clear" w:color="auto" w:fill="D6E4F7"/>
          </w:tcPr>
          <w:p>
            <w:pPr>
              <w:jc w:val="center"/>
            </w:pPr>
            <w:r>
              <w:rPr>
                <w:rFonts w:ascii="Times New Roman" w:hAnsi="Times New Roman"/>
                <w:b w:val="0"/>
                <w:i w:val="0"/>
                <w:sz w:val="18"/>
              </w:rPr>
              <w:t>Permeability</w:t>
            </w:r>
          </w:p>
        </w:tc>
        <w:tc>
          <w:tcPr>
            <w:tcW w:type="dxa" w:w="1337"/>
            <w:vAlign w:val="center"/>
            <w:shd w:val="clear" w:color="auto" w:fill="D6E4F7"/>
          </w:tcPr>
          <w:p>
            <w:pPr>
              <w:jc w:val="center"/>
            </w:pPr>
            <w:r>
              <w:rPr>
                <w:rFonts w:ascii="Times New Roman" w:hAnsi="Times New Roman"/>
                <w:b w:val="0"/>
                <w:i w:val="0"/>
                <w:sz w:val="18"/>
              </w:rPr>
              <w:t>md</w:t>
            </w:r>
          </w:p>
        </w:tc>
        <w:tc>
          <w:tcPr>
            <w:tcW w:type="dxa" w:w="1337"/>
            <w:vAlign w:val="center"/>
            <w:shd w:val="clear" w:color="auto" w:fill="D6E4F7"/>
          </w:tcPr>
          <w:p>
            <w:pPr>
              <w:jc w:val="center"/>
            </w:pPr>
            <w:r>
              <w:rPr>
                <w:rFonts w:ascii="Times New Roman" w:hAnsi="Times New Roman"/>
                <w:b w:val="0"/>
                <w:i w:val="0"/>
                <w:sz w:val="18"/>
              </w:rPr>
              <w:t>300.1</w:t>
            </w:r>
          </w:p>
        </w:tc>
        <w:tc>
          <w:tcPr>
            <w:tcW w:type="dxa" w:w="1337"/>
            <w:vAlign w:val="center"/>
            <w:shd w:val="clear" w:color="auto" w:fill="D6E4F7"/>
          </w:tcPr>
          <w:p>
            <w:pPr>
              <w:jc w:val="center"/>
            </w:pPr>
            <w:r>
              <w:rPr>
                <w:rFonts w:ascii="Times New Roman" w:hAnsi="Times New Roman"/>
                <w:b w:val="0"/>
                <w:i w:val="0"/>
                <w:sz w:val="18"/>
              </w:rPr>
              <w:t>2664</w:t>
            </w:r>
          </w:p>
        </w:tc>
        <w:tc>
          <w:tcPr>
            <w:tcW w:type="dxa" w:w="1337"/>
            <w:vAlign w:val="center"/>
            <w:shd w:val="clear" w:color="auto" w:fill="D6E4F7"/>
          </w:tcPr>
          <w:p>
            <w:pPr>
              <w:jc w:val="center"/>
            </w:pPr>
            <w:r>
              <w:rPr>
                <w:rFonts w:ascii="Times New Roman" w:hAnsi="Times New Roman"/>
                <w:b w:val="0"/>
                <w:i w:val="0"/>
                <w:sz w:val="18"/>
              </w:rPr>
              <w:t>2641</w:t>
            </w:r>
          </w:p>
        </w:tc>
        <w:tc>
          <w:tcPr>
            <w:tcW w:type="dxa" w:w="1337"/>
            <w:vAlign w:val="center"/>
            <w:shd w:val="clear" w:color="auto" w:fill="D6E4F7"/>
          </w:tcPr>
          <w:p>
            <w:pPr>
              <w:jc w:val="center"/>
            </w:pPr>
            <w:r>
              <w:rPr>
                <w:rFonts w:ascii="Times New Roman" w:hAnsi="Times New Roman"/>
                <w:b w:val="0"/>
                <w:i w:val="0"/>
                <w:sz w:val="18"/>
              </w:rPr>
              <w:t>4999</w:t>
            </w:r>
          </w:p>
        </w:tc>
        <w:tc>
          <w:tcPr>
            <w:tcW w:type="dxa" w:w="1337"/>
            <w:vAlign w:val="center"/>
            <w:shd w:val="clear" w:color="auto" w:fill="D6E4F7"/>
          </w:tcPr>
          <w:p>
            <w:pPr>
              <w:jc w:val="center"/>
            </w:pPr>
            <w:r>
              <w:rPr>
                <w:rFonts w:ascii="Times New Roman" w:hAnsi="Times New Roman"/>
                <w:b w:val="0"/>
                <w:i w:val="0"/>
                <w:sz w:val="18"/>
              </w:rPr>
              <w:t>1349</w:t>
            </w:r>
          </w:p>
        </w:tc>
      </w:tr>
      <w:tr>
        <w:tc>
          <w:tcPr>
            <w:tcW w:type="dxa" w:w="1337"/>
            <w:vAlign w:val="center"/>
          </w:tcPr>
          <w:p>
            <w:pPr>
              <w:jc w:val="center"/>
            </w:pPr>
            <w:r>
              <w:rPr>
                <w:rFonts w:ascii="Times New Roman" w:hAnsi="Times New Roman"/>
                <w:b w:val="0"/>
                <w:i w:val="0"/>
                <w:sz w:val="18"/>
              </w:rPr>
              <w:t>Polymer concentration</w:t>
            </w:r>
          </w:p>
        </w:tc>
        <w:tc>
          <w:tcPr>
            <w:tcW w:type="dxa" w:w="1337"/>
            <w:vAlign w:val="center"/>
          </w:tcPr>
          <w:p>
            <w:pPr>
              <w:jc w:val="center"/>
            </w:pPr>
            <w:r>
              <w:rPr>
                <w:rFonts w:ascii="Times New Roman" w:hAnsi="Times New Roman"/>
                <w:b w:val="0"/>
                <w:i w:val="0"/>
                <w:sz w:val="18"/>
              </w:rPr>
              <w:t>ppm</w:t>
            </w:r>
          </w:p>
        </w:tc>
        <w:tc>
          <w:tcPr>
            <w:tcW w:type="dxa" w:w="1337"/>
            <w:vAlign w:val="center"/>
          </w:tcPr>
          <w:p>
            <w:pPr>
              <w:jc w:val="center"/>
            </w:pPr>
            <w:r>
              <w:rPr>
                <w:rFonts w:ascii="Times New Roman" w:hAnsi="Times New Roman"/>
                <w:b w:val="0"/>
                <w:i w:val="0"/>
                <w:sz w:val="18"/>
              </w:rPr>
              <w:t>0.000</w:t>
            </w:r>
          </w:p>
        </w:tc>
        <w:tc>
          <w:tcPr>
            <w:tcW w:type="dxa" w:w="1337"/>
            <w:vAlign w:val="center"/>
          </w:tcPr>
          <w:p>
            <w:pPr>
              <w:jc w:val="center"/>
            </w:pPr>
            <w:r>
              <w:rPr>
                <w:rFonts w:ascii="Times New Roman" w:hAnsi="Times New Roman"/>
                <w:b w:val="0"/>
                <w:i w:val="0"/>
                <w:sz w:val="18"/>
              </w:rPr>
              <w:t>0.000</w:t>
            </w:r>
          </w:p>
        </w:tc>
        <w:tc>
          <w:tcPr>
            <w:tcW w:type="dxa" w:w="1337"/>
            <w:vAlign w:val="center"/>
          </w:tcPr>
          <w:p>
            <w:pPr>
              <w:jc w:val="center"/>
            </w:pPr>
            <w:r>
              <w:rPr>
                <w:rFonts w:ascii="Times New Roman" w:hAnsi="Times New Roman"/>
                <w:b w:val="0"/>
                <w:i w:val="0"/>
                <w:sz w:val="18"/>
              </w:rPr>
              <w:t>0.000</w:t>
            </w:r>
          </w:p>
        </w:tc>
        <w:tc>
          <w:tcPr>
            <w:tcW w:type="dxa" w:w="1337"/>
            <w:vAlign w:val="center"/>
          </w:tcPr>
          <w:p>
            <w:pPr>
              <w:jc w:val="center"/>
            </w:pPr>
            <w:r>
              <w:rPr>
                <w:rFonts w:ascii="Times New Roman" w:hAnsi="Times New Roman"/>
                <w:b w:val="0"/>
                <w:i w:val="0"/>
                <w:sz w:val="18"/>
              </w:rPr>
              <w:t>0.000</w:t>
            </w:r>
          </w:p>
        </w:tc>
        <w:tc>
          <w:tcPr>
            <w:tcW w:type="dxa" w:w="1337"/>
            <w:vAlign w:val="center"/>
          </w:tcPr>
          <w:p>
            <w:pPr>
              <w:jc w:val="center"/>
            </w:pPr>
            <w:r>
              <w:rPr>
                <w:rFonts w:ascii="Times New Roman" w:hAnsi="Times New Roman"/>
                <w:b w:val="0"/>
                <w:i w:val="0"/>
                <w:sz w:val="18"/>
              </w:rPr>
              <w:t>0.000</w:t>
            </w:r>
          </w:p>
        </w:tc>
      </w:tr>
      <w:tr>
        <w:tc>
          <w:tcPr>
            <w:tcW w:type="dxa" w:w="1337"/>
            <w:vAlign w:val="center"/>
            <w:shd w:val="clear" w:color="auto" w:fill="D6E4F7"/>
          </w:tcPr>
          <w:p>
            <w:pPr>
              <w:jc w:val="center"/>
            </w:pPr>
            <w:r>
              <w:rPr>
                <w:rFonts w:ascii="Times New Roman" w:hAnsi="Times New Roman"/>
                <w:b w:val="0"/>
                <w:i w:val="0"/>
                <w:sz w:val="18"/>
              </w:rPr>
              <w:t>Porosity</w:t>
            </w:r>
          </w:p>
        </w:tc>
        <w:tc>
          <w:tcPr>
            <w:tcW w:type="dxa" w:w="1337"/>
            <w:vAlign w:val="center"/>
            <w:shd w:val="clear" w:color="auto" w:fill="D6E4F7"/>
          </w:tcPr>
          <w:p>
            <w:pPr>
              <w:jc w:val="center"/>
            </w:pPr>
            <w:r>
              <w:rPr>
                <w:rFonts w:ascii="Times New Roman" w:hAnsi="Times New Roman"/>
                <w:b w:val="0"/>
                <w:i w:val="0"/>
                <w:sz w:val="18"/>
              </w:rPr>
              <w:t>–</w:t>
            </w:r>
          </w:p>
        </w:tc>
        <w:tc>
          <w:tcPr>
            <w:tcW w:type="dxa" w:w="1337"/>
            <w:vAlign w:val="center"/>
            <w:shd w:val="clear" w:color="auto" w:fill="D6E4F7"/>
          </w:tcPr>
          <w:p>
            <w:pPr>
              <w:jc w:val="center"/>
            </w:pPr>
            <w:r>
              <w:rPr>
                <w:rFonts w:ascii="Times New Roman" w:hAnsi="Times New Roman"/>
                <w:b w:val="0"/>
                <w:i w:val="0"/>
                <w:sz w:val="18"/>
              </w:rPr>
              <w:t>0.200</w:t>
            </w:r>
          </w:p>
        </w:tc>
        <w:tc>
          <w:tcPr>
            <w:tcW w:type="dxa" w:w="1337"/>
            <w:vAlign w:val="center"/>
            <w:shd w:val="clear" w:color="auto" w:fill="D6E4F7"/>
          </w:tcPr>
          <w:p>
            <w:pPr>
              <w:jc w:val="center"/>
            </w:pPr>
            <w:r>
              <w:rPr>
                <w:rFonts w:ascii="Times New Roman" w:hAnsi="Times New Roman"/>
                <w:b w:val="0"/>
                <w:i w:val="0"/>
                <w:sz w:val="18"/>
              </w:rPr>
              <w:t>0.294</w:t>
            </w:r>
          </w:p>
        </w:tc>
        <w:tc>
          <w:tcPr>
            <w:tcW w:type="dxa" w:w="1337"/>
            <w:vAlign w:val="center"/>
            <w:shd w:val="clear" w:color="auto" w:fill="D6E4F7"/>
          </w:tcPr>
          <w:p>
            <w:pPr>
              <w:jc w:val="center"/>
            </w:pPr>
            <w:r>
              <w:rPr>
                <w:rFonts w:ascii="Times New Roman" w:hAnsi="Times New Roman"/>
                <w:b w:val="0"/>
                <w:i w:val="0"/>
                <w:sz w:val="18"/>
              </w:rPr>
              <w:t>0.295</w:t>
            </w:r>
          </w:p>
        </w:tc>
        <w:tc>
          <w:tcPr>
            <w:tcW w:type="dxa" w:w="1337"/>
            <w:vAlign w:val="center"/>
            <w:shd w:val="clear" w:color="auto" w:fill="D6E4F7"/>
          </w:tcPr>
          <w:p>
            <w:pPr>
              <w:jc w:val="center"/>
            </w:pPr>
            <w:r>
              <w:rPr>
                <w:rFonts w:ascii="Times New Roman" w:hAnsi="Times New Roman"/>
                <w:b w:val="0"/>
                <w:i w:val="0"/>
                <w:sz w:val="18"/>
              </w:rPr>
              <w:t>0.390</w:t>
            </w:r>
          </w:p>
        </w:tc>
        <w:tc>
          <w:tcPr>
            <w:tcW w:type="dxa" w:w="1337"/>
            <w:vAlign w:val="center"/>
            <w:shd w:val="clear" w:color="auto" w:fill="D6E4F7"/>
          </w:tcPr>
          <w:p>
            <w:pPr>
              <w:jc w:val="center"/>
            </w:pPr>
            <w:r>
              <w:rPr>
                <w:rFonts w:ascii="Times New Roman" w:hAnsi="Times New Roman"/>
                <w:b w:val="0"/>
                <w:i w:val="0"/>
                <w:sz w:val="18"/>
              </w:rPr>
              <w:t>0.055</w:t>
            </w:r>
          </w:p>
        </w:tc>
      </w:tr>
      <w:tr>
        <w:tc>
          <w:tcPr>
            <w:tcW w:type="dxa" w:w="1337"/>
            <w:vAlign w:val="center"/>
          </w:tcPr>
          <w:p>
            <w:pPr>
              <w:jc w:val="center"/>
            </w:pPr>
            <w:r>
              <w:rPr>
                <w:rFonts w:ascii="Times New Roman" w:hAnsi="Times New Roman"/>
                <w:b w:val="0"/>
                <w:i w:val="0"/>
                <w:sz w:val="18"/>
              </w:rPr>
              <w:t>Reservoir pressure</w:t>
            </w:r>
          </w:p>
        </w:tc>
        <w:tc>
          <w:tcPr>
            <w:tcW w:type="dxa" w:w="1337"/>
            <w:vAlign w:val="center"/>
          </w:tcPr>
          <w:p>
            <w:pPr>
              <w:jc w:val="center"/>
            </w:pPr>
            <w:r>
              <w:rPr>
                <w:rFonts w:ascii="Times New Roman" w:hAnsi="Times New Roman"/>
                <w:b w:val="0"/>
                <w:i w:val="0"/>
                <w:sz w:val="18"/>
              </w:rPr>
              <w:t>psi</w:t>
            </w:r>
          </w:p>
        </w:tc>
        <w:tc>
          <w:tcPr>
            <w:tcW w:type="dxa" w:w="1337"/>
            <w:vAlign w:val="center"/>
          </w:tcPr>
          <w:p>
            <w:pPr>
              <w:jc w:val="center"/>
            </w:pPr>
            <w:r>
              <w:rPr>
                <w:rFonts w:ascii="Times New Roman" w:hAnsi="Times New Roman"/>
                <w:b w:val="0"/>
                <w:i w:val="0"/>
                <w:sz w:val="18"/>
              </w:rPr>
              <w:t>260.0</w:t>
            </w:r>
          </w:p>
        </w:tc>
        <w:tc>
          <w:tcPr>
            <w:tcW w:type="dxa" w:w="1337"/>
            <w:vAlign w:val="center"/>
          </w:tcPr>
          <w:p>
            <w:pPr>
              <w:jc w:val="center"/>
            </w:pPr>
            <w:r>
              <w:rPr>
                <w:rFonts w:ascii="Times New Roman" w:hAnsi="Times New Roman"/>
                <w:b w:val="0"/>
                <w:i w:val="0"/>
                <w:sz w:val="18"/>
              </w:rPr>
              <w:t>320.4</w:t>
            </w:r>
          </w:p>
        </w:tc>
        <w:tc>
          <w:tcPr>
            <w:tcW w:type="dxa" w:w="1337"/>
            <w:vAlign w:val="center"/>
          </w:tcPr>
          <w:p>
            <w:pPr>
              <w:jc w:val="center"/>
            </w:pPr>
            <w:r>
              <w:rPr>
                <w:rFonts w:ascii="Times New Roman" w:hAnsi="Times New Roman"/>
                <w:b w:val="0"/>
                <w:i w:val="0"/>
                <w:sz w:val="18"/>
              </w:rPr>
              <w:t>320.9</w:t>
            </w:r>
          </w:p>
        </w:tc>
        <w:tc>
          <w:tcPr>
            <w:tcW w:type="dxa" w:w="1337"/>
            <w:vAlign w:val="center"/>
          </w:tcPr>
          <w:p>
            <w:pPr>
              <w:jc w:val="center"/>
            </w:pPr>
            <w:r>
              <w:rPr>
                <w:rFonts w:ascii="Times New Roman" w:hAnsi="Times New Roman"/>
                <w:b w:val="0"/>
                <w:i w:val="0"/>
                <w:sz w:val="18"/>
              </w:rPr>
              <w:t>379.9</w:t>
            </w:r>
          </w:p>
        </w:tc>
        <w:tc>
          <w:tcPr>
            <w:tcW w:type="dxa" w:w="1337"/>
            <w:vAlign w:val="center"/>
          </w:tcPr>
          <w:p>
            <w:pPr>
              <w:jc w:val="center"/>
            </w:pPr>
            <w:r>
              <w:rPr>
                <w:rFonts w:ascii="Times New Roman" w:hAnsi="Times New Roman"/>
                <w:b w:val="0"/>
                <w:i w:val="0"/>
                <w:sz w:val="18"/>
              </w:rPr>
              <w:t>34.2</w:t>
            </w:r>
          </w:p>
        </w:tc>
      </w:tr>
      <w:tr>
        <w:tc>
          <w:tcPr>
            <w:tcW w:type="dxa" w:w="1337"/>
            <w:vAlign w:val="center"/>
            <w:shd w:val="clear" w:color="auto" w:fill="D6E4F7"/>
          </w:tcPr>
          <w:p>
            <w:pPr>
              <w:jc w:val="center"/>
            </w:pPr>
            <w:r>
              <w:rPr>
                <w:rFonts w:ascii="Times New Roman" w:hAnsi="Times New Roman"/>
                <w:b w:val="0"/>
                <w:i w:val="0"/>
                <w:sz w:val="18"/>
              </w:rPr>
              <w:t>RRF</w:t>
            </w:r>
          </w:p>
        </w:tc>
        <w:tc>
          <w:tcPr>
            <w:tcW w:type="dxa" w:w="1337"/>
            <w:vAlign w:val="center"/>
            <w:shd w:val="clear" w:color="auto" w:fill="D6E4F7"/>
          </w:tcPr>
          <w:p>
            <w:pPr>
              <w:jc w:val="center"/>
            </w:pPr>
            <w:r>
              <w:rPr>
                <w:rFonts w:ascii="Times New Roman" w:hAnsi="Times New Roman"/>
                <w:b w:val="0"/>
                <w:i w:val="0"/>
                <w:sz w:val="18"/>
              </w:rPr>
              <w:t>–</w:t>
            </w:r>
          </w:p>
        </w:tc>
        <w:tc>
          <w:tcPr>
            <w:tcW w:type="dxa" w:w="1337"/>
            <w:vAlign w:val="center"/>
            <w:shd w:val="clear" w:color="auto" w:fill="D6E4F7"/>
          </w:tcPr>
          <w:p>
            <w:pPr>
              <w:jc w:val="center"/>
            </w:pPr>
            <w:r>
              <w:rPr>
                <w:rFonts w:ascii="Times New Roman" w:hAnsi="Times New Roman"/>
                <w:b w:val="0"/>
                <w:i w:val="0"/>
                <w:sz w:val="18"/>
              </w:rPr>
              <w:t>1.000</w:t>
            </w:r>
          </w:p>
        </w:tc>
        <w:tc>
          <w:tcPr>
            <w:tcW w:type="dxa" w:w="1337"/>
            <w:vAlign w:val="center"/>
            <w:shd w:val="clear" w:color="auto" w:fill="D6E4F7"/>
          </w:tcPr>
          <w:p>
            <w:pPr>
              <w:jc w:val="center"/>
            </w:pPr>
            <w:r>
              <w:rPr>
                <w:rFonts w:ascii="Times New Roman" w:hAnsi="Times New Roman"/>
                <w:b w:val="0"/>
                <w:i w:val="0"/>
                <w:sz w:val="18"/>
              </w:rPr>
              <w:t>3.475</w:t>
            </w:r>
          </w:p>
        </w:tc>
        <w:tc>
          <w:tcPr>
            <w:tcW w:type="dxa" w:w="1337"/>
            <w:vAlign w:val="center"/>
            <w:shd w:val="clear" w:color="auto" w:fill="D6E4F7"/>
          </w:tcPr>
          <w:p>
            <w:pPr>
              <w:jc w:val="center"/>
            </w:pPr>
            <w:r>
              <w:rPr>
                <w:rFonts w:ascii="Times New Roman" w:hAnsi="Times New Roman"/>
                <w:b w:val="0"/>
                <w:i w:val="0"/>
                <w:sz w:val="18"/>
              </w:rPr>
              <w:t>3.500</w:t>
            </w:r>
          </w:p>
        </w:tc>
        <w:tc>
          <w:tcPr>
            <w:tcW w:type="dxa" w:w="1337"/>
            <w:vAlign w:val="center"/>
            <w:shd w:val="clear" w:color="auto" w:fill="D6E4F7"/>
          </w:tcPr>
          <w:p>
            <w:pPr>
              <w:jc w:val="center"/>
            </w:pPr>
            <w:r>
              <w:rPr>
                <w:rFonts w:ascii="Times New Roman" w:hAnsi="Times New Roman"/>
                <w:b w:val="0"/>
                <w:i w:val="0"/>
                <w:sz w:val="18"/>
              </w:rPr>
              <w:t>5.997</w:t>
            </w:r>
          </w:p>
        </w:tc>
        <w:tc>
          <w:tcPr>
            <w:tcW w:type="dxa" w:w="1337"/>
            <w:vAlign w:val="center"/>
            <w:shd w:val="clear" w:color="auto" w:fill="D6E4F7"/>
          </w:tcPr>
          <w:p>
            <w:pPr>
              <w:jc w:val="center"/>
            </w:pPr>
            <w:r>
              <w:rPr>
                <w:rFonts w:ascii="Times New Roman" w:hAnsi="Times New Roman"/>
                <w:b w:val="0"/>
                <w:i w:val="0"/>
                <w:sz w:val="18"/>
              </w:rPr>
              <w:t>1.456</w:t>
            </w:r>
          </w:p>
        </w:tc>
      </w:tr>
      <w:tr>
        <w:tc>
          <w:tcPr>
            <w:tcW w:type="dxa" w:w="1337"/>
            <w:vAlign w:val="center"/>
          </w:tcPr>
          <w:p>
            <w:pPr>
              <w:jc w:val="center"/>
            </w:pPr>
            <w:r>
              <w:rPr>
                <w:rFonts w:ascii="Times New Roman" w:hAnsi="Times New Roman"/>
                <w:b w:val="0"/>
                <w:i w:val="0"/>
                <w:sz w:val="18"/>
              </w:rPr>
              <w:t>Reservoir temperature</w:t>
            </w:r>
          </w:p>
        </w:tc>
        <w:tc>
          <w:tcPr>
            <w:tcW w:type="dxa" w:w="1337"/>
            <w:vAlign w:val="center"/>
          </w:tcPr>
          <w:p>
            <w:pPr>
              <w:jc w:val="center"/>
            </w:pPr>
            <w:r>
              <w:rPr>
                <w:rFonts w:ascii="Times New Roman" w:hAnsi="Times New Roman"/>
                <w:b w:val="0"/>
                <w:i w:val="0"/>
                <w:sz w:val="18"/>
              </w:rPr>
              <w:t>°F</w:t>
            </w:r>
          </w:p>
        </w:tc>
        <w:tc>
          <w:tcPr>
            <w:tcW w:type="dxa" w:w="1337"/>
            <w:vAlign w:val="center"/>
          </w:tcPr>
          <w:p>
            <w:pPr>
              <w:jc w:val="center"/>
            </w:pPr>
            <w:r>
              <w:rPr>
                <w:rFonts w:ascii="Times New Roman" w:hAnsi="Times New Roman"/>
                <w:b w:val="0"/>
                <w:i w:val="0"/>
                <w:sz w:val="18"/>
              </w:rPr>
              <w:t>50.0</w:t>
            </w:r>
          </w:p>
        </w:tc>
        <w:tc>
          <w:tcPr>
            <w:tcW w:type="dxa" w:w="1337"/>
            <w:vAlign w:val="center"/>
          </w:tcPr>
          <w:p>
            <w:pPr>
              <w:jc w:val="center"/>
            </w:pPr>
            <w:r>
              <w:rPr>
                <w:rFonts w:ascii="Times New Roman" w:hAnsi="Times New Roman"/>
                <w:b w:val="0"/>
                <w:i w:val="0"/>
                <w:sz w:val="18"/>
              </w:rPr>
              <w:t>60.0</w:t>
            </w:r>
          </w:p>
        </w:tc>
        <w:tc>
          <w:tcPr>
            <w:tcW w:type="dxa" w:w="1337"/>
            <w:vAlign w:val="center"/>
          </w:tcPr>
          <w:p>
            <w:pPr>
              <w:jc w:val="center"/>
            </w:pPr>
            <w:r>
              <w:rPr>
                <w:rFonts w:ascii="Times New Roman" w:hAnsi="Times New Roman"/>
                <w:b w:val="0"/>
                <w:i w:val="0"/>
                <w:sz w:val="18"/>
              </w:rPr>
              <w:t>60.0</w:t>
            </w:r>
          </w:p>
        </w:tc>
        <w:tc>
          <w:tcPr>
            <w:tcW w:type="dxa" w:w="1337"/>
            <w:vAlign w:val="center"/>
          </w:tcPr>
          <w:p>
            <w:pPr>
              <w:jc w:val="center"/>
            </w:pPr>
            <w:r>
              <w:rPr>
                <w:rFonts w:ascii="Times New Roman" w:hAnsi="Times New Roman"/>
                <w:b w:val="0"/>
                <w:i w:val="0"/>
                <w:sz w:val="18"/>
              </w:rPr>
              <w:t>70.0</w:t>
            </w:r>
          </w:p>
        </w:tc>
        <w:tc>
          <w:tcPr>
            <w:tcW w:type="dxa" w:w="1337"/>
            <w:vAlign w:val="center"/>
          </w:tcPr>
          <w:p>
            <w:pPr>
              <w:jc w:val="center"/>
            </w:pPr>
            <w:r>
              <w:rPr>
                <w:rFonts w:ascii="Times New Roman" w:hAnsi="Times New Roman"/>
                <w:b w:val="0"/>
                <w:i w:val="0"/>
                <w:sz w:val="18"/>
              </w:rPr>
              <w:t>5.8</w:t>
            </w:r>
          </w:p>
        </w:tc>
      </w:tr>
      <w:tr>
        <w:tc>
          <w:tcPr>
            <w:tcW w:type="dxa" w:w="1337"/>
            <w:vAlign w:val="center"/>
            <w:shd w:val="clear" w:color="auto" w:fill="D6E4F7"/>
          </w:tcPr>
          <w:p>
            <w:pPr>
              <w:jc w:val="center"/>
            </w:pPr>
            <w:r>
              <w:rPr>
                <w:rFonts w:ascii="Times New Roman" w:hAnsi="Times New Roman"/>
                <w:b w:val="0"/>
                <w:i w:val="0"/>
                <w:sz w:val="18"/>
              </w:rPr>
              <w:t>Solution viscosity</w:t>
            </w:r>
          </w:p>
        </w:tc>
        <w:tc>
          <w:tcPr>
            <w:tcW w:type="dxa" w:w="1337"/>
            <w:vAlign w:val="center"/>
            <w:shd w:val="clear" w:color="auto" w:fill="D6E4F7"/>
          </w:tcPr>
          <w:p>
            <w:pPr>
              <w:jc w:val="center"/>
            </w:pPr>
            <w:r>
              <w:rPr>
                <w:rFonts w:ascii="Times New Roman" w:hAnsi="Times New Roman"/>
                <w:b w:val="0"/>
                <w:i w:val="0"/>
                <w:sz w:val="18"/>
              </w:rPr>
              <w:t>cp</w:t>
            </w:r>
          </w:p>
        </w:tc>
        <w:tc>
          <w:tcPr>
            <w:tcW w:type="dxa" w:w="1337"/>
            <w:vAlign w:val="center"/>
            <w:shd w:val="clear" w:color="auto" w:fill="D6E4F7"/>
          </w:tcPr>
          <w:p>
            <w:pPr>
              <w:jc w:val="center"/>
            </w:pPr>
            <w:r>
              <w:rPr>
                <w:rFonts w:ascii="Times New Roman" w:hAnsi="Times New Roman"/>
                <w:b w:val="0"/>
                <w:i w:val="0"/>
                <w:sz w:val="18"/>
              </w:rPr>
              <w:t>5.0</w:t>
            </w:r>
          </w:p>
        </w:tc>
        <w:tc>
          <w:tcPr>
            <w:tcW w:type="dxa" w:w="1337"/>
            <w:vAlign w:val="center"/>
            <w:shd w:val="clear" w:color="auto" w:fill="D6E4F7"/>
          </w:tcPr>
          <w:p>
            <w:pPr>
              <w:jc w:val="center"/>
            </w:pPr>
            <w:r>
              <w:rPr>
                <w:rFonts w:ascii="Times New Roman" w:hAnsi="Times New Roman"/>
                <w:b w:val="0"/>
                <w:i w:val="0"/>
                <w:sz w:val="18"/>
              </w:rPr>
              <w:t>76.2</w:t>
            </w:r>
          </w:p>
        </w:tc>
        <w:tc>
          <w:tcPr>
            <w:tcW w:type="dxa" w:w="1337"/>
            <w:vAlign w:val="center"/>
            <w:shd w:val="clear" w:color="auto" w:fill="D6E4F7"/>
          </w:tcPr>
          <w:p>
            <w:pPr>
              <w:jc w:val="center"/>
            </w:pPr>
            <w:r>
              <w:rPr>
                <w:rFonts w:ascii="Times New Roman" w:hAnsi="Times New Roman"/>
                <w:b w:val="0"/>
                <w:i w:val="0"/>
                <w:sz w:val="18"/>
              </w:rPr>
              <w:t>76.4</w:t>
            </w:r>
          </w:p>
        </w:tc>
        <w:tc>
          <w:tcPr>
            <w:tcW w:type="dxa" w:w="1337"/>
            <w:vAlign w:val="center"/>
            <w:shd w:val="clear" w:color="auto" w:fill="D6E4F7"/>
          </w:tcPr>
          <w:p>
            <w:pPr>
              <w:jc w:val="center"/>
            </w:pPr>
            <w:r>
              <w:rPr>
                <w:rFonts w:ascii="Times New Roman" w:hAnsi="Times New Roman"/>
                <w:b w:val="0"/>
                <w:i w:val="0"/>
                <w:sz w:val="18"/>
              </w:rPr>
              <w:t>150.0</w:t>
            </w:r>
          </w:p>
        </w:tc>
        <w:tc>
          <w:tcPr>
            <w:tcW w:type="dxa" w:w="1337"/>
            <w:vAlign w:val="center"/>
            <w:shd w:val="clear" w:color="auto" w:fill="D6E4F7"/>
          </w:tcPr>
          <w:p>
            <w:pPr>
              <w:jc w:val="center"/>
            </w:pPr>
            <w:r>
              <w:rPr>
                <w:rFonts w:ascii="Times New Roman" w:hAnsi="Times New Roman"/>
                <w:b w:val="0"/>
                <w:i w:val="0"/>
                <w:sz w:val="18"/>
              </w:rPr>
              <w:t>42.1</w:t>
            </w:r>
          </w:p>
        </w:tc>
      </w:tr>
      <w:tr>
        <w:tc>
          <w:tcPr>
            <w:tcW w:type="dxa" w:w="1337"/>
            <w:vAlign w:val="center"/>
          </w:tcPr>
          <w:p>
            <w:pPr>
              <w:jc w:val="center"/>
            </w:pPr>
            <w:r>
              <w:rPr>
                <w:rFonts w:ascii="Times New Roman" w:hAnsi="Times New Roman"/>
                <w:b w:val="0"/>
                <w:i w:val="0"/>
                <w:sz w:val="18"/>
              </w:rPr>
              <w:t>Water salinity</w:t>
            </w:r>
          </w:p>
        </w:tc>
        <w:tc>
          <w:tcPr>
            <w:tcW w:type="dxa" w:w="1337"/>
            <w:vAlign w:val="center"/>
          </w:tcPr>
          <w:p>
            <w:pPr>
              <w:jc w:val="center"/>
            </w:pPr>
            <w:r>
              <w:rPr>
                <w:rFonts w:ascii="Times New Roman" w:hAnsi="Times New Roman"/>
                <w:b w:val="0"/>
                <w:i w:val="0"/>
                <w:sz w:val="18"/>
              </w:rPr>
              <w:t>ppm</w:t>
            </w:r>
          </w:p>
        </w:tc>
        <w:tc>
          <w:tcPr>
            <w:tcW w:type="dxa" w:w="1337"/>
            <w:vAlign w:val="center"/>
          </w:tcPr>
          <w:p>
            <w:pPr>
              <w:jc w:val="center"/>
            </w:pPr>
            <w:r>
              <w:rPr>
                <w:rFonts w:ascii="Times New Roman" w:hAnsi="Times New Roman"/>
                <w:b w:val="0"/>
                <w:i w:val="0"/>
                <w:sz w:val="18"/>
              </w:rPr>
              <w:t>0.003</w:t>
            </w:r>
          </w:p>
        </w:tc>
        <w:tc>
          <w:tcPr>
            <w:tcW w:type="dxa" w:w="1337"/>
            <w:vAlign w:val="center"/>
          </w:tcPr>
          <w:p>
            <w:pPr>
              <w:jc w:val="center"/>
            </w:pPr>
            <w:r>
              <w:rPr>
                <w:rFonts w:ascii="Times New Roman" w:hAnsi="Times New Roman"/>
                <w:b w:val="0"/>
                <w:i w:val="0"/>
                <w:sz w:val="18"/>
              </w:rPr>
              <w:t>0.009</w:t>
            </w:r>
          </w:p>
        </w:tc>
        <w:tc>
          <w:tcPr>
            <w:tcW w:type="dxa" w:w="1337"/>
            <w:vAlign w:val="center"/>
          </w:tcPr>
          <w:p>
            <w:pPr>
              <w:jc w:val="center"/>
            </w:pPr>
            <w:r>
              <w:rPr>
                <w:rFonts w:ascii="Times New Roman" w:hAnsi="Times New Roman"/>
                <w:b w:val="0"/>
                <w:i w:val="0"/>
                <w:sz w:val="18"/>
              </w:rPr>
              <w:t>0.010</w:t>
            </w:r>
          </w:p>
        </w:tc>
        <w:tc>
          <w:tcPr>
            <w:tcW w:type="dxa" w:w="1337"/>
            <w:vAlign w:val="center"/>
          </w:tcPr>
          <w:p>
            <w:pPr>
              <w:jc w:val="center"/>
            </w:pPr>
            <w:r>
              <w:rPr>
                <w:rFonts w:ascii="Times New Roman" w:hAnsi="Times New Roman"/>
                <w:b w:val="0"/>
                <w:i w:val="0"/>
                <w:sz w:val="18"/>
              </w:rPr>
              <w:t>0.016</w:t>
            </w:r>
          </w:p>
        </w:tc>
        <w:tc>
          <w:tcPr>
            <w:tcW w:type="dxa" w:w="1337"/>
            <w:vAlign w:val="center"/>
          </w:tcPr>
          <w:p>
            <w:pPr>
              <w:jc w:val="center"/>
            </w:pPr>
            <w:r>
              <w:rPr>
                <w:rFonts w:ascii="Times New Roman" w:hAnsi="Times New Roman"/>
                <w:b w:val="0"/>
                <w:i w:val="0"/>
                <w:sz w:val="18"/>
              </w:rPr>
              <w:t>0.004</w:t>
            </w:r>
          </w:p>
        </w:tc>
      </w:tr>
      <w:tr>
        <w:tc>
          <w:tcPr>
            <w:tcW w:type="dxa" w:w="1337"/>
            <w:vAlign w:val="center"/>
            <w:shd w:val="clear" w:color="auto" w:fill="D6E4F7"/>
          </w:tcPr>
          <w:p>
            <w:pPr>
              <w:jc w:val="center"/>
            </w:pPr>
            <w:r>
              <w:rPr>
                <w:rFonts w:ascii="Times New Roman" w:hAnsi="Times New Roman"/>
                <w:b w:val="0"/>
                <w:i w:val="0"/>
                <w:sz w:val="18"/>
              </w:rPr>
              <w:t>Oil recovery factor (target)</w:t>
            </w:r>
          </w:p>
        </w:tc>
        <w:tc>
          <w:tcPr>
            <w:tcW w:type="dxa" w:w="1337"/>
            <w:vAlign w:val="center"/>
            <w:shd w:val="clear" w:color="auto" w:fill="D6E4F7"/>
          </w:tcPr>
          <w:p>
            <w:pPr>
              <w:jc w:val="center"/>
            </w:pPr>
            <w:r>
              <w:rPr>
                <w:rFonts w:ascii="Times New Roman" w:hAnsi="Times New Roman"/>
                <w:b w:val="0"/>
                <w:i w:val="0"/>
                <w:sz w:val="18"/>
              </w:rPr>
              <w:t>%</w:t>
            </w:r>
          </w:p>
        </w:tc>
        <w:tc>
          <w:tcPr>
            <w:tcW w:type="dxa" w:w="1337"/>
            <w:vAlign w:val="center"/>
            <w:shd w:val="clear" w:color="auto" w:fill="D6E4F7"/>
          </w:tcPr>
          <w:p>
            <w:pPr>
              <w:jc w:val="center"/>
            </w:pPr>
            <w:r>
              <w:rPr>
                <w:rFonts w:ascii="Times New Roman" w:hAnsi="Times New Roman"/>
                <w:b w:val="0"/>
                <w:i w:val="0"/>
                <w:sz w:val="18"/>
              </w:rPr>
              <w:t>0.024</w:t>
            </w:r>
          </w:p>
        </w:tc>
        <w:tc>
          <w:tcPr>
            <w:tcW w:type="dxa" w:w="1337"/>
            <w:vAlign w:val="center"/>
            <w:shd w:val="clear" w:color="auto" w:fill="D6E4F7"/>
          </w:tcPr>
          <w:p>
            <w:pPr>
              <w:jc w:val="center"/>
            </w:pPr>
            <w:r>
              <w:rPr>
                <w:rFonts w:ascii="Times New Roman" w:hAnsi="Times New Roman"/>
                <w:b w:val="0"/>
                <w:i w:val="0"/>
                <w:sz w:val="18"/>
              </w:rPr>
              <w:t>0.650</w:t>
            </w:r>
          </w:p>
        </w:tc>
        <w:tc>
          <w:tcPr>
            <w:tcW w:type="dxa" w:w="1337"/>
            <w:vAlign w:val="center"/>
            <w:shd w:val="clear" w:color="auto" w:fill="D6E4F7"/>
          </w:tcPr>
          <w:p>
            <w:pPr>
              <w:jc w:val="center"/>
            </w:pPr>
            <w:r>
              <w:rPr>
                <w:rFonts w:ascii="Times New Roman" w:hAnsi="Times New Roman"/>
                <w:b w:val="0"/>
                <w:i w:val="0"/>
                <w:sz w:val="18"/>
              </w:rPr>
              <w:t>0.448</w:t>
            </w:r>
          </w:p>
        </w:tc>
        <w:tc>
          <w:tcPr>
            <w:tcW w:type="dxa" w:w="1337"/>
            <w:vAlign w:val="center"/>
            <w:shd w:val="clear" w:color="auto" w:fill="D6E4F7"/>
          </w:tcPr>
          <w:p>
            <w:pPr>
              <w:jc w:val="center"/>
            </w:pPr>
            <w:r>
              <w:rPr>
                <w:rFonts w:ascii="Times New Roman" w:hAnsi="Times New Roman"/>
                <w:b w:val="0"/>
                <w:i w:val="0"/>
                <w:sz w:val="18"/>
              </w:rPr>
              <w:t>5.859</w:t>
            </w:r>
          </w:p>
        </w:tc>
        <w:tc>
          <w:tcPr>
            <w:tcW w:type="dxa" w:w="1337"/>
            <w:vAlign w:val="center"/>
            <w:shd w:val="clear" w:color="auto" w:fill="D6E4F7"/>
          </w:tcPr>
          <w:p>
            <w:pPr>
              <w:jc w:val="center"/>
            </w:pPr>
            <w:r>
              <w:rPr>
                <w:rFonts w:ascii="Times New Roman" w:hAnsi="Times New Roman"/>
                <w:b w:val="0"/>
                <w:i w:val="0"/>
                <w:sz w:val="18"/>
              </w:rPr>
              <w:t>0.643</w:t>
            </w:r>
          </w:p>
        </w:tc>
      </w:tr>
    </w:tbl>
    <w:p/>
    <w:p>
      <w:pPr>
        <w:spacing w:before="240" w:after="80"/>
        <w:jc w:val="left"/>
      </w:pPr>
      <w:r>
        <w:rPr>
          <w:rFonts w:ascii="Times New Roman" w:hAnsi="Times New Roman"/>
          <w:b/>
          <w:i w:val="0"/>
          <w:sz w:val="24"/>
        </w:rPr>
        <w:t>2.2 Target Variable Distribution</w:t>
      </w:r>
    </w:p>
    <w:p>
      <w:pPr>
        <w:spacing w:after="120"/>
        <w:ind w:firstLine="567"/>
        <w:jc w:val="both"/>
      </w:pPr>
      <w:r>
        <w:rPr>
          <w:rFonts w:ascii="Times New Roman" w:hAnsi="Times New Roman"/>
          <w:b w:val="0"/>
          <w:i w:val="0"/>
          <w:sz w:val="22"/>
        </w:rPr>
        <w:t>Figure 1 presents the histogram, box plot, and empirical cumulative distribution function (CDF) of the ORF. The histogram reveals a pronounced positive skew with a heavy right tail; approximately 90 % of samples fall below 1.5 %. The box plot confirms numerous high-value outliers (ORF &gt; 2 %), and the CDF approaches unity gradually beyond 2 %, underscoring the challenge of accurately predicting extreme recovery values.</w:t>
      </w:r>
    </w:p>
    <w:p>
      <w:pPr>
        <w:spacing w:after="120"/>
        <w:jc w:val="center"/>
      </w:pPr>
      <w:r>
        <w:rPr>
          <w:rFonts w:ascii="Times New Roman" w:hAnsi="Times New Roman"/>
          <w:b w:val="0"/>
          <w:i/>
          <w:sz w:val="22"/>
        </w:rPr>
        <w:t>[Figure not found: fig01_target_distribution.png]</w:t>
      </w:r>
    </w:p>
    <w:p>
      <w:pPr>
        <w:spacing w:before="80" w:after="200"/>
        <w:jc w:val="center"/>
      </w:pPr>
      <w:r>
        <w:rPr>
          <w:rFonts w:ascii="Times New Roman" w:hAnsi="Times New Roman"/>
          <w:b w:val="0"/>
          <w:i/>
          <w:sz w:val="20"/>
        </w:rPr>
        <w:t>Figure 1. Target variable (oil recovery factor) distribution: histogram (left), box plot (centre), and empirical CDF (right).</w:t>
      </w:r>
    </w:p>
    <w:p>
      <w:pPr>
        <w:spacing w:before="240" w:after="80"/>
        <w:jc w:val="left"/>
      </w:pPr>
      <w:r>
        <w:rPr>
          <w:rFonts w:ascii="Times New Roman" w:hAnsi="Times New Roman"/>
          <w:b/>
          <w:i w:val="0"/>
          <w:sz w:val="24"/>
        </w:rPr>
        <w:t>2.3 Feature Distributions</w:t>
      </w:r>
    </w:p>
    <w:p>
      <w:pPr>
        <w:spacing w:after="120"/>
        <w:ind w:firstLine="567"/>
        <w:jc w:val="both"/>
      </w:pPr>
      <w:r>
        <w:rPr>
          <w:rFonts w:ascii="Times New Roman" w:hAnsi="Times New Roman"/>
          <w:b w:val="0"/>
          <w:i w:val="0"/>
          <w:sz w:val="22"/>
        </w:rPr>
        <w:t>Figure 2 presents the univariate histograms of all 14 input features. Several features — notably oil viscosity, permeability, and solution viscosity — span multiple orders of magnitude, reflecting the wide simulation parameter ranges used in the experimental design. Other features (porosity, reservoir temperature, FWM) display approximately uniform distributions consistent with a Latin hypercube or factorial design-of-experiment strategy.</w:t>
      </w:r>
    </w:p>
    <w:p>
      <w:pPr>
        <w:spacing w:after="120"/>
        <w:jc w:val="center"/>
      </w:pPr>
      <w:r>
        <w:rPr>
          <w:rFonts w:ascii="Times New Roman" w:hAnsi="Times New Roman"/>
          <w:b w:val="0"/>
          <w:i/>
          <w:sz w:val="22"/>
        </w:rPr>
        <w:t>[Figure not found: fig02_feature_distributions.png]</w:t>
      </w:r>
    </w:p>
    <w:p>
      <w:pPr>
        <w:spacing w:before="80" w:after="200"/>
        <w:jc w:val="center"/>
      </w:pPr>
      <w:r>
        <w:rPr>
          <w:rFonts w:ascii="Times New Roman" w:hAnsi="Times New Roman"/>
          <w:b w:val="0"/>
          <w:i/>
          <w:sz w:val="20"/>
        </w:rPr>
        <w:t>Figure 2. Univariate histograms of all 14 input features.</w:t>
      </w:r>
    </w:p>
    <w:p>
      <w:pPr>
        <w:spacing w:before="240" w:after="80"/>
        <w:jc w:val="left"/>
      </w:pPr>
      <w:r>
        <w:rPr>
          <w:rFonts w:ascii="Times New Roman" w:hAnsi="Times New Roman"/>
          <w:b/>
          <w:i w:val="0"/>
          <w:sz w:val="24"/>
        </w:rPr>
        <w:t>2.4 Pearson Correlation Analysis</w:t>
      </w:r>
    </w:p>
    <w:p>
      <w:pPr>
        <w:spacing w:after="120"/>
        <w:ind w:firstLine="567"/>
        <w:jc w:val="both"/>
      </w:pPr>
      <w:r>
        <w:rPr>
          <w:rFonts w:ascii="Times New Roman" w:hAnsi="Times New Roman"/>
          <w:b w:val="0"/>
          <w:i w:val="0"/>
          <w:sz w:val="22"/>
        </w:rPr>
        <w:t>Figure 3 shows the lower-triangular Pearson correlation matrix for all variables. The majority of feature-feature correlations are near zero (|r| &lt; 0.10), confirming low multicollinearity in the simulation design. The strongest correlations with ORF are: oil viscosity (r = −0.54), FWM (r = −0.35), reservoir pressure (r = +0.16), and permeability (r = +0.16). The dominant negative relationship with oil viscosity aligns with the physical expectation that higher-viscosity oils are harder to displace by polymer flooding.</w:t>
      </w:r>
    </w:p>
    <w:p>
      <w:pPr>
        <w:spacing w:after="120"/>
        <w:jc w:val="center"/>
      </w:pPr>
      <w:r>
        <w:rPr>
          <w:rFonts w:ascii="Times New Roman" w:hAnsi="Times New Roman"/>
          <w:b w:val="0"/>
          <w:i/>
          <w:sz w:val="22"/>
        </w:rPr>
        <w:t>[Figure not found: fig03_correlation_heatmap.png]</w:t>
      </w:r>
    </w:p>
    <w:p>
      <w:pPr>
        <w:spacing w:before="80" w:after="200"/>
        <w:jc w:val="center"/>
      </w:pPr>
      <w:r>
        <w:rPr>
          <w:rFonts w:ascii="Times New Roman" w:hAnsi="Times New Roman"/>
          <w:b w:val="0"/>
          <w:i/>
          <w:sz w:val="20"/>
        </w:rPr>
        <w:t>Figure 3. Pearson correlation matrix. Colour intensity indicates correlation strength; diagonal entries are self-correlations (r = 1.00).</w:t>
      </w:r>
    </w:p>
    <w:p>
      <w:pPr>
        <w:spacing w:before="240" w:after="80"/>
        <w:jc w:val="left"/>
      </w:pPr>
      <w:r>
        <w:rPr>
          <w:rFonts w:ascii="Times New Roman" w:hAnsi="Times New Roman"/>
          <w:b/>
          <w:i w:val="0"/>
          <w:sz w:val="24"/>
        </w:rPr>
        <w:t>2.5 Feature–Target Scatter Analysis</w:t>
      </w:r>
    </w:p>
    <w:p>
      <w:pPr>
        <w:spacing w:after="120"/>
        <w:ind w:firstLine="567"/>
        <w:jc w:val="both"/>
      </w:pPr>
      <w:r>
        <w:rPr>
          <w:rFonts w:ascii="Times New Roman" w:hAnsi="Times New Roman"/>
          <w:b w:val="0"/>
          <w:i w:val="0"/>
          <w:sz w:val="22"/>
        </w:rPr>
        <w:t>Figure 4 displays bivariate scatter plots of each feature against ORF. Consistent with the correlation analysis, oil viscosity shows the most pronounced negative monotonic trend. FWM exhibits a clear negative association, while permeability and reservoir pressure display mild positive trends. Most other features show diffuse, low-correlation scatter, suggesting that ORF is governed by complex, nonlinear multivariate interactions that motivate the use of nonlinear surrogate models.</w:t>
      </w:r>
    </w:p>
    <w:p>
      <w:pPr>
        <w:spacing w:after="120"/>
        <w:jc w:val="center"/>
      </w:pPr>
      <w:r>
        <w:rPr>
          <w:rFonts w:ascii="Times New Roman" w:hAnsi="Times New Roman"/>
          <w:b w:val="0"/>
          <w:i/>
          <w:sz w:val="22"/>
        </w:rPr>
        <w:t>[Figure not found: fig04_feature_vs_target.png]</w:t>
      </w:r>
    </w:p>
    <w:p>
      <w:pPr>
        <w:spacing w:before="80" w:after="200"/>
        <w:jc w:val="center"/>
      </w:pPr>
      <w:r>
        <w:rPr>
          <w:rFonts w:ascii="Times New Roman" w:hAnsi="Times New Roman"/>
          <w:b w:val="0"/>
          <w:i/>
          <w:sz w:val="20"/>
        </w:rPr>
        <w:t>Figure 4. Bivariate scatter plots of each input feature versus oil recovery factor. Pearson r values are annotated above each subplot.</w:t>
      </w:r>
    </w:p>
    <w:p>
      <w:pPr>
        <w:spacing w:before="240" w:after="80"/>
        <w:jc w:val="left"/>
      </w:pPr>
      <w:r>
        <w:rPr>
          <w:rFonts w:ascii="Times New Roman" w:hAnsi="Times New Roman"/>
          <w:b/>
          <w:i w:val="0"/>
          <w:sz w:val="26"/>
        </w:rPr>
        <w:t>3. Methodology</w:t>
      </w:r>
    </w:p>
    <w:p>
      <w:pPr>
        <w:spacing w:before="240" w:after="80"/>
        <w:jc w:val="left"/>
      </w:pPr>
      <w:r>
        <w:rPr>
          <w:rFonts w:ascii="Times New Roman" w:hAnsi="Times New Roman"/>
          <w:b/>
          <w:i w:val="0"/>
          <w:sz w:val="24"/>
        </w:rPr>
        <w:t>3.1 Data Pre-processing and Splitting Strategy</w:t>
      </w:r>
    </w:p>
    <w:p>
      <w:pPr>
        <w:spacing w:after="120"/>
        <w:ind w:firstLine="567"/>
        <w:jc w:val="both"/>
      </w:pPr>
      <w:r>
        <w:rPr>
          <w:rFonts w:ascii="Times New Roman" w:hAnsi="Times New Roman"/>
          <w:b w:val="0"/>
          <w:i w:val="0"/>
          <w:sz w:val="22"/>
        </w:rPr>
        <w:t>All features were standardised using z-score normalisation (zero mean, unit variance). To prevent data leakage, scalers were fitted exclusively on training data and subsequently applied to validation and test sets. The target variable was also standardised for DL model training and inverse-transformed for metric computation. Two complementary evaluation protocols were adopted (Figure 5):</w:t>
      </w:r>
    </w:p>
    <w:p>
      <w:pPr>
        <w:spacing w:after="120"/>
        <w:ind w:firstLine="567"/>
        <w:jc w:val="both"/>
      </w:pPr>
      <w:r>
        <w:rPr>
          <w:rFonts w:ascii="Times New Roman" w:hAnsi="Times New Roman"/>
          <w:b w:val="0"/>
          <w:i w:val="0"/>
          <w:sz w:val="22"/>
        </w:rPr>
        <w:t>Deep Learning — A stratified random split partitioned the dataset into training (70 %, n = 2,513), validation (15 %, n = 539), and test (15 %, n = 539) subsets. The validation set guided learning-rate scheduling; the test set was withheld until final evaluation.</w:t>
      </w:r>
    </w:p>
    <w:p>
      <w:pPr>
        <w:spacing w:after="120"/>
        <w:ind w:firstLine="567"/>
        <w:jc w:val="both"/>
      </w:pPr>
      <w:r>
        <w:rPr>
          <w:rFonts w:ascii="Times New Roman" w:hAnsi="Times New Roman"/>
          <w:b w:val="0"/>
          <w:i w:val="0"/>
          <w:sz w:val="22"/>
        </w:rPr>
        <w:t>Shallow ML — Ten-fold cross-validation (10-fold CV) was performed on the complete dataset (n = 3,591). Per-fold scalers were fitted on the training folds only. Out-of-fold (OOF) predictions were assembled to yield a single unbiased generalisation estimate across the full sample.</w:t>
      </w:r>
    </w:p>
    <w:p>
      <w:pPr>
        <w:spacing w:after="120"/>
        <w:jc w:val="center"/>
      </w:pPr>
      <w:r>
        <w:rPr>
          <w:rFonts w:ascii="Times New Roman" w:hAnsi="Times New Roman"/>
          <w:b w:val="0"/>
          <w:i/>
          <w:sz w:val="22"/>
        </w:rPr>
        <w:t>[Figure not found: fig05_dataset_split.png]</w:t>
      </w:r>
    </w:p>
    <w:p>
      <w:pPr>
        <w:spacing w:before="80" w:after="200"/>
        <w:jc w:val="center"/>
      </w:pPr>
      <w:r>
        <w:rPr>
          <w:rFonts w:ascii="Times New Roman" w:hAnsi="Times New Roman"/>
          <w:b w:val="0"/>
          <w:i/>
          <w:sz w:val="20"/>
        </w:rPr>
        <w:t>Figure 5. Data partitioning strategies. Left: DL 70/15/15 % train/validation/test split. Right: ML 10-fold cross-validation (one representative fold shown).</w:t>
      </w:r>
    </w:p>
    <w:p>
      <w:pPr>
        <w:spacing w:before="240" w:after="80"/>
        <w:jc w:val="left"/>
      </w:pPr>
      <w:r>
        <w:rPr>
          <w:rFonts w:ascii="Times New Roman" w:hAnsi="Times New Roman"/>
          <w:b/>
          <w:i w:val="0"/>
          <w:sz w:val="24"/>
        </w:rPr>
        <w:t>3.2 Deep Learning Architectures</w:t>
      </w:r>
    </w:p>
    <w:p>
      <w:pPr>
        <w:spacing w:after="120"/>
        <w:ind w:firstLine="567"/>
        <w:jc w:val="both"/>
      </w:pPr>
      <w:r>
        <w:rPr>
          <w:rFonts w:ascii="Times New Roman" w:hAnsi="Times New Roman"/>
          <w:b w:val="0"/>
          <w:i w:val="0"/>
          <w:sz w:val="22"/>
        </w:rPr>
        <w:t>All DL models were implemented in Keras/TensorFlow 2.x and trained with the Adam optimiser (learning rate η = 0.001, batch size = 64) for a fixed 200 epochs. A ReduceLROnPlateau callback (factor = 0.5, patience = 10 epochs, minimum lr = 10⁻⁶) was applied to all models to allow adaptive learning-rate decay without early termination, ensuring all architectures received identical training budgets.</w:t>
      </w:r>
    </w:p>
    <w:p>
      <w:pPr>
        <w:spacing w:after="120"/>
        <w:ind w:firstLine="567"/>
        <w:jc w:val="both"/>
      </w:pPr>
      <w:r>
        <w:rPr>
          <w:rFonts w:ascii="Times New Roman" w:hAnsi="Times New Roman"/>
          <w:b w:val="0"/>
          <w:i w:val="0"/>
          <w:sz w:val="22"/>
        </w:rPr>
        <w:t>MLP — A three-hidden-layer feedforward network with 128→64→32 neurons, ReLU activations, and 20 % dropout after the first two hidden layers.</w:t>
      </w:r>
    </w:p>
    <w:p>
      <w:pPr>
        <w:spacing w:after="120"/>
        <w:ind w:firstLine="567"/>
        <w:jc w:val="both"/>
      </w:pPr>
      <w:r>
        <w:rPr>
          <w:rFonts w:ascii="Times New Roman" w:hAnsi="Times New Roman"/>
          <w:b w:val="0"/>
          <w:i w:val="0"/>
          <w:sz w:val="22"/>
        </w:rPr>
        <w:t>CNN-1D — The 14 input features were treated as a single-step sequence (shape: 1 × 14). Two Conv1D blocks (64 and 32 filters, kernel size 3, ZeroPadding1D to preserve length) were followed by global flattening and a 32-neuron dense head with 20 % dropout.</w:t>
      </w:r>
    </w:p>
    <w:p>
      <w:pPr>
        <w:spacing w:after="120"/>
        <w:ind w:firstLine="567"/>
        <w:jc w:val="both"/>
      </w:pPr>
      <w:r>
        <w:rPr>
          <w:rFonts w:ascii="Times New Roman" w:hAnsi="Times New Roman"/>
          <w:b w:val="0"/>
          <w:i w:val="0"/>
          <w:sz w:val="22"/>
        </w:rPr>
        <w:t>LSTM — A single LSTM layer (64 hidden units, 20 % recurrent dropout) receiving the same 1 × 14 sequence representation, followed by a 32-neuron ReLU dense layer with 20 % dropout.</w:t>
      </w:r>
    </w:p>
    <w:p>
      <w:pPr>
        <w:spacing w:after="120"/>
        <w:ind w:firstLine="567"/>
        <w:jc w:val="both"/>
      </w:pPr>
      <w:r>
        <w:rPr>
          <w:rFonts w:ascii="Times New Roman" w:hAnsi="Times New Roman"/>
          <w:b w:val="0"/>
          <w:i w:val="0"/>
          <w:sz w:val="22"/>
        </w:rPr>
        <w:t>Transformer — A multi-head self-attention block (2 heads, key dimension 64, 10 % dropout) with residual addition and layer normalisation, followed by global average pooling and two dense layers (64→32 neurons, ReLU, 10 % dropout).</w:t>
      </w:r>
    </w:p>
    <w:p>
      <w:pPr>
        <w:spacing w:before="240" w:after="80"/>
        <w:jc w:val="left"/>
      </w:pPr>
      <w:r>
        <w:rPr>
          <w:rFonts w:ascii="Times New Roman" w:hAnsi="Times New Roman"/>
          <w:b/>
          <w:i w:val="0"/>
          <w:sz w:val="24"/>
        </w:rPr>
        <w:t>3.3 Shallow Machine Learning Algorithms</w:t>
      </w:r>
    </w:p>
    <w:p>
      <w:pPr>
        <w:spacing w:after="120"/>
        <w:ind w:firstLine="567"/>
        <w:jc w:val="both"/>
      </w:pPr>
      <w:r>
        <w:rPr>
          <w:rFonts w:ascii="Times New Roman" w:hAnsi="Times New Roman"/>
          <w:b w:val="0"/>
          <w:i w:val="0"/>
          <w:sz w:val="22"/>
        </w:rPr>
        <w:t>Random Forest (RF) — An ensemble of 300 decision trees with a minimum of 2 samples per leaf, trained using bootstrap aggregation (bagging). All available CPU cores were utilised (n_jobs = −1).</w:t>
      </w:r>
    </w:p>
    <w:p>
      <w:pPr>
        <w:spacing w:after="120"/>
        <w:ind w:firstLine="567"/>
        <w:jc w:val="both"/>
      </w:pPr>
      <w:r>
        <w:rPr>
          <w:rFonts w:ascii="Times New Roman" w:hAnsi="Times New Roman"/>
          <w:b w:val="0"/>
          <w:i w:val="0"/>
          <w:sz w:val="22"/>
        </w:rPr>
        <w:t>XGBoost — A gradient-boosted tree ensemble with 500 estimators, learning rate 0.05, maximum depth 6, subsample ratio 0.8, column subsample 0.8, L1 regularisation α = 0.1, and L2 regularisation λ = 1.0.</w:t>
      </w:r>
    </w:p>
    <w:p>
      <w:pPr>
        <w:spacing w:after="120"/>
        <w:ind w:firstLine="567"/>
        <w:jc w:val="both"/>
      </w:pPr>
      <w:r>
        <w:rPr>
          <w:rFonts w:ascii="Times New Roman" w:hAnsi="Times New Roman"/>
          <w:b w:val="0"/>
          <w:i w:val="0"/>
          <w:sz w:val="22"/>
        </w:rPr>
        <w:t>Support Vector Regression (SVR) — A radial basis function (RBF) kernel SVR with regularisation parameter C = 10, epsilon-insensitive tube ε = 0.01, and automatic gamma scaling.</w:t>
      </w:r>
    </w:p>
    <w:p>
      <w:pPr>
        <w:spacing w:after="120"/>
        <w:ind w:firstLine="567"/>
        <w:jc w:val="both"/>
      </w:pPr>
      <w:r>
        <w:rPr>
          <w:rFonts w:ascii="Times New Roman" w:hAnsi="Times New Roman"/>
          <w:b w:val="0"/>
          <w:i w:val="0"/>
          <w:sz w:val="22"/>
        </w:rPr>
        <w:t>Gradient Boosting (GBM) — A scikit-learn GradientBoostingRegressor with 400 estimators, learning rate 0.05, maximum depth 5, subsample ratio 0.8, and minimum 3 samples per leaf.</w:t>
      </w:r>
    </w:p>
    <w:p>
      <w:pPr>
        <w:spacing w:before="240" w:after="80"/>
        <w:jc w:val="left"/>
      </w:pPr>
      <w:r>
        <w:rPr>
          <w:rFonts w:ascii="Times New Roman" w:hAnsi="Times New Roman"/>
          <w:b/>
          <w:i w:val="0"/>
          <w:sz w:val="24"/>
        </w:rPr>
        <w:t>3.4 Evaluation Metrics</w:t>
      </w:r>
    </w:p>
    <w:p>
      <w:pPr>
        <w:spacing w:after="120"/>
        <w:ind w:firstLine="567"/>
        <w:jc w:val="both"/>
      </w:pPr>
      <w:r>
        <w:rPr>
          <w:rFonts w:ascii="Times New Roman" w:hAnsi="Times New Roman"/>
          <w:b w:val="0"/>
          <w:i w:val="0"/>
          <w:sz w:val="22"/>
        </w:rPr>
        <w:t>Model performance was assessed using four complementary metrics computed on both training and held-out data:</w:t>
      </w:r>
    </w:p>
    <w:p>
      <w:pPr>
        <w:spacing w:after="120"/>
        <w:ind w:firstLine="567"/>
        <w:jc w:val="both"/>
      </w:pPr>
      <w:r>
        <w:rPr>
          <w:rFonts w:ascii="Times New Roman" w:hAnsi="Times New Roman"/>
          <w:b w:val="0"/>
          <w:i w:val="0"/>
          <w:sz w:val="22"/>
        </w:rPr>
        <w:t>• R² (coefficient of determination) — proportion of variance in ORF explained by the model; higher is better (ideal = 1.0).</w:t>
      </w:r>
    </w:p>
    <w:p>
      <w:pPr>
        <w:spacing w:after="120"/>
        <w:ind w:firstLine="567"/>
        <w:jc w:val="both"/>
      </w:pPr>
      <w:r>
        <w:rPr>
          <w:rFonts w:ascii="Times New Roman" w:hAnsi="Times New Roman"/>
          <w:b w:val="0"/>
          <w:i w:val="0"/>
          <w:sz w:val="22"/>
        </w:rPr>
        <w:t>• RMSE (root mean squared error) — penalises large errors more heavily due to squaring; lower is better.</w:t>
      </w:r>
    </w:p>
    <w:p>
      <w:pPr>
        <w:spacing w:after="120"/>
        <w:ind w:firstLine="567"/>
        <w:jc w:val="both"/>
      </w:pPr>
      <w:r>
        <w:rPr>
          <w:rFonts w:ascii="Times New Roman" w:hAnsi="Times New Roman"/>
          <w:b w:val="0"/>
          <w:i w:val="0"/>
          <w:sz w:val="22"/>
        </w:rPr>
        <w:t>• MAE (mean absolute error) — robust average absolute deviation; lower is better.</w:t>
      </w:r>
    </w:p>
    <w:p>
      <w:pPr>
        <w:spacing w:after="120"/>
        <w:ind w:firstLine="567"/>
        <w:jc w:val="both"/>
      </w:pPr>
      <w:r>
        <w:rPr>
          <w:rFonts w:ascii="Times New Roman" w:hAnsi="Times New Roman"/>
          <w:b w:val="0"/>
          <w:i w:val="0"/>
          <w:sz w:val="22"/>
        </w:rPr>
        <w:t>• MAPE (mean absolute percentage error) — scale-independent relative error; lower is better. Near-zero ORF values were protected by a 1×10⁻⁸ denominator floor.</w:t>
      </w:r>
    </w:p>
    <w:p>
      <w:pPr>
        <w:spacing w:before="240" w:after="80"/>
        <w:jc w:val="left"/>
      </w:pPr>
      <w:r>
        <w:rPr>
          <w:rFonts w:ascii="Times New Roman" w:hAnsi="Times New Roman"/>
          <w:b/>
          <w:i w:val="0"/>
          <w:sz w:val="26"/>
        </w:rPr>
        <w:t>4. Results</w:t>
      </w:r>
    </w:p>
    <w:p>
      <w:pPr>
        <w:spacing w:before="240" w:after="80"/>
        <w:jc w:val="left"/>
      </w:pPr>
      <w:r>
        <w:rPr>
          <w:rFonts w:ascii="Times New Roman" w:hAnsi="Times New Roman"/>
          <w:b/>
          <w:i w:val="0"/>
          <w:sz w:val="24"/>
        </w:rPr>
        <w:t>4.1 Overall Performance Summary</w:t>
      </w:r>
    </w:p>
    <w:p>
      <w:pPr>
        <w:spacing w:after="120"/>
        <w:ind w:firstLine="567"/>
        <w:jc w:val="both"/>
      </w:pPr>
      <w:r>
        <w:rPr>
          <w:rFonts w:ascii="Times New Roman" w:hAnsi="Times New Roman"/>
          <w:b w:val="0"/>
          <w:i w:val="0"/>
          <w:sz w:val="22"/>
        </w:rPr>
        <w:t>Table 2 presents the complete performance metrics for all eight models across training, validation/CV, and test/OOF evaluation phases. The Transformer achieved the best test R² among DL models (0.9477), closely followed by CNN-1D (0.9463) and MLP (0.9207). LSTM yielded substantially lower performance (R² = 0.7042), attributable to the absence of genuine temporal ordering in the tabular simulation data. Among shallow ML models, Gradient Boosting and XGBoost led with OOF R² values of 0.9468 and 0.9399 respectively, while SVR performed worst (OOF R² = 0.8351, MAPE = 32.93 %).</w:t>
      </w:r>
    </w:p>
    <w:p>
      <w:pPr>
        <w:spacing w:before="240" w:after="80"/>
        <w:jc w:val="left"/>
      </w:pPr>
      <w:r>
        <w:rPr>
          <w:rFonts w:ascii="Times New Roman" w:hAnsi="Times New Roman"/>
          <w:b/>
          <w:i w:val="0"/>
          <w:sz w:val="20"/>
        </w:rPr>
        <w:t>Table 2. Performance metrics for all eight models.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vAlign w:val="center"/>
            <w:shd w:val="clear" w:color="auto" w:fill="2F5496"/>
          </w:tcPr>
          <w:p>
            <w:pPr>
              <w:jc w:val="center"/>
            </w:pPr>
            <w:r>
              <w:rPr>
                <w:rFonts w:ascii="Times New Roman" w:hAnsi="Times New Roman"/>
                <w:b/>
                <w:i w:val="0"/>
                <w:sz w:val="18"/>
              </w:rPr>
              <w:t>Model</w:t>
            </w:r>
          </w:p>
        </w:tc>
        <w:tc>
          <w:tcPr>
            <w:tcW w:type="dxa" w:w="936"/>
            <w:vAlign w:val="center"/>
            <w:shd w:val="clear" w:color="auto" w:fill="2F5496"/>
          </w:tcPr>
          <w:p>
            <w:pPr>
              <w:jc w:val="center"/>
            </w:pPr>
            <w:r>
              <w:rPr>
                <w:rFonts w:ascii="Times New Roman" w:hAnsi="Times New Roman"/>
                <w:b/>
                <w:i w:val="0"/>
                <w:sz w:val="18"/>
              </w:rPr>
              <w:t>Type</w:t>
            </w:r>
          </w:p>
        </w:tc>
        <w:tc>
          <w:tcPr>
            <w:tcW w:type="dxa" w:w="936"/>
            <w:vAlign w:val="center"/>
            <w:shd w:val="clear" w:color="auto" w:fill="2F5496"/>
          </w:tcPr>
          <w:p>
            <w:pPr>
              <w:jc w:val="center"/>
            </w:pPr>
            <w:r>
              <w:rPr>
                <w:rFonts w:ascii="Times New Roman" w:hAnsi="Times New Roman"/>
                <w:b/>
                <w:i w:val="0"/>
                <w:sz w:val="18"/>
              </w:rPr>
              <w:t>Eval</w:t>
            </w:r>
          </w:p>
        </w:tc>
        <w:tc>
          <w:tcPr>
            <w:tcW w:type="dxa" w:w="936"/>
            <w:vAlign w:val="center"/>
            <w:shd w:val="clear" w:color="auto" w:fill="2F5496"/>
          </w:tcPr>
          <w:p>
            <w:pPr>
              <w:jc w:val="center"/>
            </w:pPr>
            <w:r>
              <w:rPr>
                <w:rFonts w:ascii="Times New Roman" w:hAnsi="Times New Roman"/>
                <w:b/>
                <w:i w:val="0"/>
                <w:sz w:val="18"/>
              </w:rPr>
              <w:t>Train R²</w:t>
            </w:r>
          </w:p>
        </w:tc>
        <w:tc>
          <w:tcPr>
            <w:tcW w:type="dxa" w:w="936"/>
            <w:vAlign w:val="center"/>
            <w:shd w:val="clear" w:color="auto" w:fill="2F5496"/>
          </w:tcPr>
          <w:p>
            <w:pPr>
              <w:jc w:val="center"/>
            </w:pPr>
            <w:r>
              <w:rPr>
                <w:rFonts w:ascii="Times New Roman" w:hAnsi="Times New Roman"/>
                <w:b/>
                <w:i w:val="0"/>
                <w:sz w:val="18"/>
              </w:rPr>
              <w:t>Val/CV R²</w:t>
            </w:r>
          </w:p>
        </w:tc>
        <w:tc>
          <w:tcPr>
            <w:tcW w:type="dxa" w:w="936"/>
            <w:vAlign w:val="center"/>
            <w:shd w:val="clear" w:color="auto" w:fill="2F5496"/>
          </w:tcPr>
          <w:p>
            <w:pPr>
              <w:jc w:val="center"/>
            </w:pPr>
            <w:r>
              <w:rPr>
                <w:rFonts w:ascii="Times New Roman" w:hAnsi="Times New Roman"/>
                <w:b/>
                <w:i w:val="0"/>
                <w:sz w:val="18"/>
              </w:rPr>
              <w:t>Test/OOF R²</w:t>
            </w:r>
          </w:p>
        </w:tc>
        <w:tc>
          <w:tcPr>
            <w:tcW w:type="dxa" w:w="936"/>
            <w:vAlign w:val="center"/>
            <w:shd w:val="clear" w:color="auto" w:fill="2F5496"/>
          </w:tcPr>
          <w:p>
            <w:pPr>
              <w:jc w:val="center"/>
            </w:pPr>
            <w:r>
              <w:rPr>
                <w:rFonts w:ascii="Times New Roman" w:hAnsi="Times New Roman"/>
                <w:b/>
                <w:i w:val="0"/>
                <w:sz w:val="18"/>
              </w:rPr>
              <w:t>Train RMSE</w:t>
            </w:r>
          </w:p>
        </w:tc>
        <w:tc>
          <w:tcPr>
            <w:tcW w:type="dxa" w:w="936"/>
            <w:vAlign w:val="center"/>
            <w:shd w:val="clear" w:color="auto" w:fill="2F5496"/>
          </w:tcPr>
          <w:p>
            <w:pPr>
              <w:jc w:val="center"/>
            </w:pPr>
            <w:r>
              <w:rPr>
                <w:rFonts w:ascii="Times New Roman" w:hAnsi="Times New Roman"/>
                <w:b/>
                <w:i w:val="0"/>
                <w:sz w:val="18"/>
              </w:rPr>
              <w:t>Test RMSE</w:t>
            </w:r>
          </w:p>
        </w:tc>
        <w:tc>
          <w:tcPr>
            <w:tcW w:type="dxa" w:w="936"/>
            <w:vAlign w:val="center"/>
            <w:shd w:val="clear" w:color="auto" w:fill="2F5496"/>
          </w:tcPr>
          <w:p>
            <w:pPr>
              <w:jc w:val="center"/>
            </w:pPr>
            <w:r>
              <w:rPr>
                <w:rFonts w:ascii="Times New Roman" w:hAnsi="Times New Roman"/>
                <w:b/>
                <w:i w:val="0"/>
                <w:sz w:val="18"/>
              </w:rPr>
              <w:t>MAE</w:t>
            </w:r>
          </w:p>
        </w:tc>
        <w:tc>
          <w:tcPr>
            <w:tcW w:type="dxa" w:w="936"/>
            <w:vAlign w:val="center"/>
            <w:shd w:val="clear" w:color="auto" w:fill="2F5496"/>
          </w:tcPr>
          <w:p>
            <w:pPr>
              <w:jc w:val="center"/>
            </w:pPr>
            <w:r>
              <w:rPr>
                <w:rFonts w:ascii="Times New Roman" w:hAnsi="Times New Roman"/>
                <w:b/>
                <w:i w:val="0"/>
                <w:sz w:val="18"/>
              </w:rPr>
              <w:t>MAPE (%)</w:t>
            </w:r>
          </w:p>
        </w:tc>
      </w:tr>
      <w:tr>
        <w:tc>
          <w:tcPr>
            <w:tcW w:type="dxa" w:w="936"/>
            <w:vAlign w:val="center"/>
            <w:shd w:val="clear" w:color="auto" w:fill="D6E4F7"/>
          </w:tcPr>
          <w:p>
            <w:pPr>
              <w:jc w:val="center"/>
            </w:pPr>
            <w:r>
              <w:rPr>
                <w:rFonts w:ascii="Times New Roman" w:hAnsi="Times New Roman"/>
                <w:b w:val="0"/>
                <w:i w:val="0"/>
                <w:sz w:val="18"/>
              </w:rPr>
              <w:t>MLP</w:t>
            </w:r>
          </w:p>
        </w:tc>
        <w:tc>
          <w:tcPr>
            <w:tcW w:type="dxa" w:w="936"/>
            <w:vAlign w:val="center"/>
            <w:shd w:val="clear" w:color="auto" w:fill="D6E4F7"/>
          </w:tcPr>
          <w:p>
            <w:pPr>
              <w:jc w:val="center"/>
            </w:pPr>
            <w:r>
              <w:rPr>
                <w:rFonts w:ascii="Times New Roman" w:hAnsi="Times New Roman"/>
                <w:b w:val="0"/>
                <w:i w:val="0"/>
                <w:sz w:val="18"/>
              </w:rPr>
              <w:t>DL</w:t>
            </w:r>
          </w:p>
        </w:tc>
        <w:tc>
          <w:tcPr>
            <w:tcW w:type="dxa" w:w="936"/>
            <w:vAlign w:val="center"/>
            <w:shd w:val="clear" w:color="auto" w:fill="D6E4F7"/>
          </w:tcPr>
          <w:p>
            <w:pPr>
              <w:jc w:val="center"/>
            </w:pPr>
            <w:r>
              <w:rPr>
                <w:rFonts w:ascii="Times New Roman" w:hAnsi="Times New Roman"/>
                <w:b w:val="0"/>
                <w:i w:val="0"/>
                <w:sz w:val="18"/>
              </w:rPr>
              <w:t>Test set</w:t>
            </w:r>
          </w:p>
        </w:tc>
        <w:tc>
          <w:tcPr>
            <w:tcW w:type="dxa" w:w="936"/>
            <w:vAlign w:val="center"/>
            <w:shd w:val="clear" w:color="auto" w:fill="D6E4F7"/>
          </w:tcPr>
          <w:p>
            <w:pPr>
              <w:jc w:val="center"/>
            </w:pPr>
            <w:r>
              <w:rPr>
                <w:rFonts w:ascii="Times New Roman" w:hAnsi="Times New Roman"/>
                <w:b w:val="0"/>
                <w:i w:val="0"/>
                <w:sz w:val="18"/>
              </w:rPr>
              <w:t>0.9711</w:t>
            </w:r>
          </w:p>
        </w:tc>
        <w:tc>
          <w:tcPr>
            <w:tcW w:type="dxa" w:w="936"/>
            <w:vAlign w:val="center"/>
            <w:shd w:val="clear" w:color="auto" w:fill="D6E4F7"/>
          </w:tcPr>
          <w:p>
            <w:pPr>
              <w:jc w:val="center"/>
            </w:pPr>
            <w:r>
              <w:rPr>
                <w:rFonts w:ascii="Times New Roman" w:hAnsi="Times New Roman"/>
                <w:b w:val="0"/>
                <w:i w:val="0"/>
                <w:sz w:val="18"/>
              </w:rPr>
              <w:t>0.8856</w:t>
            </w:r>
          </w:p>
        </w:tc>
        <w:tc>
          <w:tcPr>
            <w:tcW w:type="dxa" w:w="936"/>
            <w:vAlign w:val="center"/>
            <w:shd w:val="clear" w:color="auto" w:fill="D6E4F7"/>
          </w:tcPr>
          <w:p>
            <w:pPr>
              <w:jc w:val="center"/>
            </w:pPr>
            <w:r>
              <w:rPr>
                <w:rFonts w:ascii="Times New Roman" w:hAnsi="Times New Roman"/>
                <w:b w:val="0"/>
                <w:i w:val="0"/>
                <w:sz w:val="18"/>
              </w:rPr>
              <w:t>0.9207</w:t>
            </w:r>
          </w:p>
        </w:tc>
        <w:tc>
          <w:tcPr>
            <w:tcW w:type="dxa" w:w="936"/>
            <w:vAlign w:val="center"/>
            <w:shd w:val="clear" w:color="auto" w:fill="D6E4F7"/>
          </w:tcPr>
          <w:p>
            <w:pPr>
              <w:jc w:val="center"/>
            </w:pPr>
            <w:r>
              <w:rPr>
                <w:rFonts w:ascii="Times New Roman" w:hAnsi="Times New Roman"/>
                <w:b w:val="0"/>
                <w:i w:val="0"/>
                <w:sz w:val="18"/>
              </w:rPr>
              <w:t>0.1095</w:t>
            </w:r>
          </w:p>
        </w:tc>
        <w:tc>
          <w:tcPr>
            <w:tcW w:type="dxa" w:w="936"/>
            <w:vAlign w:val="center"/>
            <w:shd w:val="clear" w:color="auto" w:fill="D6E4F7"/>
          </w:tcPr>
          <w:p>
            <w:pPr>
              <w:jc w:val="center"/>
            </w:pPr>
            <w:r>
              <w:rPr>
                <w:rFonts w:ascii="Times New Roman" w:hAnsi="Times New Roman"/>
                <w:b w:val="0"/>
                <w:i w:val="0"/>
                <w:sz w:val="18"/>
              </w:rPr>
              <w:t>0.1753</w:t>
            </w:r>
          </w:p>
        </w:tc>
        <w:tc>
          <w:tcPr>
            <w:tcW w:type="dxa" w:w="936"/>
            <w:vAlign w:val="center"/>
            <w:shd w:val="clear" w:color="auto" w:fill="D6E4F7"/>
          </w:tcPr>
          <w:p>
            <w:pPr>
              <w:jc w:val="center"/>
            </w:pPr>
            <w:r>
              <w:rPr>
                <w:rFonts w:ascii="Times New Roman" w:hAnsi="Times New Roman"/>
                <w:b w:val="0"/>
                <w:i w:val="0"/>
                <w:sz w:val="18"/>
              </w:rPr>
              <w:t>0.0891</w:t>
            </w:r>
          </w:p>
        </w:tc>
        <w:tc>
          <w:tcPr>
            <w:tcW w:type="dxa" w:w="936"/>
            <w:vAlign w:val="center"/>
            <w:shd w:val="clear" w:color="auto" w:fill="D6E4F7"/>
          </w:tcPr>
          <w:p>
            <w:pPr>
              <w:jc w:val="center"/>
            </w:pPr>
            <w:r>
              <w:rPr>
                <w:rFonts w:ascii="Times New Roman" w:hAnsi="Times New Roman"/>
                <w:b w:val="0"/>
                <w:i w:val="0"/>
                <w:sz w:val="18"/>
              </w:rPr>
              <w:t>13.91</w:t>
            </w:r>
          </w:p>
        </w:tc>
      </w:tr>
      <w:tr>
        <w:tc>
          <w:tcPr>
            <w:tcW w:type="dxa" w:w="936"/>
            <w:vAlign w:val="center"/>
          </w:tcPr>
          <w:p>
            <w:pPr>
              <w:jc w:val="center"/>
            </w:pPr>
            <w:r>
              <w:rPr>
                <w:rFonts w:ascii="Times New Roman" w:hAnsi="Times New Roman"/>
                <w:b w:val="0"/>
                <w:i w:val="0"/>
                <w:sz w:val="18"/>
              </w:rPr>
              <w:t>CNN-1D</w:t>
            </w:r>
          </w:p>
        </w:tc>
        <w:tc>
          <w:tcPr>
            <w:tcW w:type="dxa" w:w="936"/>
            <w:vAlign w:val="center"/>
          </w:tcPr>
          <w:p>
            <w:pPr>
              <w:jc w:val="center"/>
            </w:pPr>
            <w:r>
              <w:rPr>
                <w:rFonts w:ascii="Times New Roman" w:hAnsi="Times New Roman"/>
                <w:b w:val="0"/>
                <w:i w:val="0"/>
                <w:sz w:val="18"/>
              </w:rPr>
              <w:t>DL</w:t>
            </w:r>
          </w:p>
        </w:tc>
        <w:tc>
          <w:tcPr>
            <w:tcW w:type="dxa" w:w="936"/>
            <w:vAlign w:val="center"/>
          </w:tcPr>
          <w:p>
            <w:pPr>
              <w:jc w:val="center"/>
            </w:pPr>
            <w:r>
              <w:rPr>
                <w:rFonts w:ascii="Times New Roman" w:hAnsi="Times New Roman"/>
                <w:b w:val="0"/>
                <w:i w:val="0"/>
                <w:sz w:val="18"/>
              </w:rPr>
              <w:t>Test set</w:t>
            </w:r>
          </w:p>
        </w:tc>
        <w:tc>
          <w:tcPr>
            <w:tcW w:type="dxa" w:w="936"/>
            <w:vAlign w:val="center"/>
          </w:tcPr>
          <w:p>
            <w:pPr>
              <w:jc w:val="center"/>
            </w:pPr>
            <w:r>
              <w:rPr>
                <w:rFonts w:ascii="Times New Roman" w:hAnsi="Times New Roman"/>
                <w:b w:val="0"/>
                <w:i w:val="0"/>
                <w:sz w:val="18"/>
              </w:rPr>
              <w:t>0.9786</w:t>
            </w:r>
          </w:p>
        </w:tc>
        <w:tc>
          <w:tcPr>
            <w:tcW w:type="dxa" w:w="936"/>
            <w:vAlign w:val="center"/>
          </w:tcPr>
          <w:p>
            <w:pPr>
              <w:jc w:val="center"/>
            </w:pPr>
            <w:r>
              <w:rPr>
                <w:rFonts w:ascii="Times New Roman" w:hAnsi="Times New Roman"/>
                <w:b w:val="0"/>
                <w:i w:val="0"/>
                <w:sz w:val="18"/>
              </w:rPr>
              <w:t>0.9146</w:t>
            </w:r>
          </w:p>
        </w:tc>
        <w:tc>
          <w:tcPr>
            <w:tcW w:type="dxa" w:w="936"/>
            <w:vAlign w:val="center"/>
          </w:tcPr>
          <w:p>
            <w:pPr>
              <w:jc w:val="center"/>
            </w:pPr>
            <w:r>
              <w:rPr>
                <w:rFonts w:ascii="Times New Roman" w:hAnsi="Times New Roman"/>
                <w:b w:val="0"/>
                <w:i w:val="0"/>
                <w:sz w:val="18"/>
              </w:rPr>
              <w:t>0.9463</w:t>
            </w:r>
          </w:p>
        </w:tc>
        <w:tc>
          <w:tcPr>
            <w:tcW w:type="dxa" w:w="936"/>
            <w:vAlign w:val="center"/>
          </w:tcPr>
          <w:p>
            <w:pPr>
              <w:jc w:val="center"/>
            </w:pPr>
            <w:r>
              <w:rPr>
                <w:rFonts w:ascii="Times New Roman" w:hAnsi="Times New Roman"/>
                <w:b w:val="0"/>
                <w:i w:val="0"/>
                <w:sz w:val="18"/>
              </w:rPr>
              <w:t>0.0942</w:t>
            </w:r>
          </w:p>
        </w:tc>
        <w:tc>
          <w:tcPr>
            <w:tcW w:type="dxa" w:w="936"/>
            <w:vAlign w:val="center"/>
          </w:tcPr>
          <w:p>
            <w:pPr>
              <w:jc w:val="center"/>
            </w:pPr>
            <w:r>
              <w:rPr>
                <w:rFonts w:ascii="Times New Roman" w:hAnsi="Times New Roman"/>
                <w:b w:val="0"/>
                <w:i w:val="0"/>
                <w:sz w:val="18"/>
              </w:rPr>
              <w:t>0.1443</w:t>
            </w:r>
          </w:p>
        </w:tc>
        <w:tc>
          <w:tcPr>
            <w:tcW w:type="dxa" w:w="936"/>
            <w:vAlign w:val="center"/>
          </w:tcPr>
          <w:p>
            <w:pPr>
              <w:jc w:val="center"/>
            </w:pPr>
            <w:r>
              <w:rPr>
                <w:rFonts w:ascii="Times New Roman" w:hAnsi="Times New Roman"/>
                <w:b w:val="0"/>
                <w:i w:val="0"/>
                <w:sz w:val="18"/>
              </w:rPr>
              <w:t>0.0806</w:t>
            </w:r>
          </w:p>
        </w:tc>
        <w:tc>
          <w:tcPr>
            <w:tcW w:type="dxa" w:w="936"/>
            <w:vAlign w:val="center"/>
          </w:tcPr>
          <w:p>
            <w:pPr>
              <w:jc w:val="center"/>
            </w:pPr>
            <w:r>
              <w:rPr>
                <w:rFonts w:ascii="Times New Roman" w:hAnsi="Times New Roman"/>
                <w:b w:val="0"/>
                <w:i w:val="0"/>
                <w:sz w:val="18"/>
              </w:rPr>
              <w:t>16.87</w:t>
            </w:r>
          </w:p>
        </w:tc>
      </w:tr>
      <w:tr>
        <w:tc>
          <w:tcPr>
            <w:tcW w:type="dxa" w:w="936"/>
            <w:vAlign w:val="center"/>
            <w:shd w:val="clear" w:color="auto" w:fill="D6E4F7"/>
          </w:tcPr>
          <w:p>
            <w:pPr>
              <w:jc w:val="center"/>
            </w:pPr>
            <w:r>
              <w:rPr>
                <w:rFonts w:ascii="Times New Roman" w:hAnsi="Times New Roman"/>
                <w:b w:val="0"/>
                <w:i w:val="0"/>
                <w:sz w:val="18"/>
              </w:rPr>
              <w:t>LSTM</w:t>
            </w:r>
          </w:p>
        </w:tc>
        <w:tc>
          <w:tcPr>
            <w:tcW w:type="dxa" w:w="936"/>
            <w:vAlign w:val="center"/>
            <w:shd w:val="clear" w:color="auto" w:fill="D6E4F7"/>
          </w:tcPr>
          <w:p>
            <w:pPr>
              <w:jc w:val="center"/>
            </w:pPr>
            <w:r>
              <w:rPr>
                <w:rFonts w:ascii="Times New Roman" w:hAnsi="Times New Roman"/>
                <w:b w:val="0"/>
                <w:i w:val="0"/>
                <w:sz w:val="18"/>
              </w:rPr>
              <w:t>DL</w:t>
            </w:r>
          </w:p>
        </w:tc>
        <w:tc>
          <w:tcPr>
            <w:tcW w:type="dxa" w:w="936"/>
            <w:vAlign w:val="center"/>
            <w:shd w:val="clear" w:color="auto" w:fill="D6E4F7"/>
          </w:tcPr>
          <w:p>
            <w:pPr>
              <w:jc w:val="center"/>
            </w:pPr>
            <w:r>
              <w:rPr>
                <w:rFonts w:ascii="Times New Roman" w:hAnsi="Times New Roman"/>
                <w:b w:val="0"/>
                <w:i w:val="0"/>
                <w:sz w:val="18"/>
              </w:rPr>
              <w:t>Test set</w:t>
            </w:r>
          </w:p>
        </w:tc>
        <w:tc>
          <w:tcPr>
            <w:tcW w:type="dxa" w:w="936"/>
            <w:vAlign w:val="center"/>
            <w:shd w:val="clear" w:color="auto" w:fill="D6E4F7"/>
          </w:tcPr>
          <w:p>
            <w:pPr>
              <w:jc w:val="center"/>
            </w:pPr>
            <w:r>
              <w:rPr>
                <w:rFonts w:ascii="Times New Roman" w:hAnsi="Times New Roman"/>
                <w:b w:val="0"/>
                <w:i w:val="0"/>
                <w:sz w:val="18"/>
              </w:rPr>
              <w:t>0.7179</w:t>
            </w:r>
          </w:p>
        </w:tc>
        <w:tc>
          <w:tcPr>
            <w:tcW w:type="dxa" w:w="936"/>
            <w:vAlign w:val="center"/>
            <w:shd w:val="clear" w:color="auto" w:fill="D6E4F7"/>
          </w:tcPr>
          <w:p>
            <w:pPr>
              <w:jc w:val="center"/>
            </w:pPr>
            <w:r>
              <w:rPr>
                <w:rFonts w:ascii="Times New Roman" w:hAnsi="Times New Roman"/>
                <w:b w:val="0"/>
                <w:i w:val="0"/>
                <w:sz w:val="18"/>
              </w:rPr>
              <w:t>0.6942</w:t>
            </w:r>
          </w:p>
        </w:tc>
        <w:tc>
          <w:tcPr>
            <w:tcW w:type="dxa" w:w="936"/>
            <w:vAlign w:val="center"/>
            <w:shd w:val="clear" w:color="auto" w:fill="D6E4F7"/>
          </w:tcPr>
          <w:p>
            <w:pPr>
              <w:jc w:val="center"/>
            </w:pPr>
            <w:r>
              <w:rPr>
                <w:rFonts w:ascii="Times New Roman" w:hAnsi="Times New Roman"/>
                <w:b w:val="0"/>
                <w:i w:val="0"/>
                <w:sz w:val="18"/>
              </w:rPr>
              <w:t>0.7042</w:t>
            </w:r>
          </w:p>
        </w:tc>
        <w:tc>
          <w:tcPr>
            <w:tcW w:type="dxa" w:w="936"/>
            <w:vAlign w:val="center"/>
            <w:shd w:val="clear" w:color="auto" w:fill="D6E4F7"/>
          </w:tcPr>
          <w:p>
            <w:pPr>
              <w:jc w:val="center"/>
            </w:pPr>
            <w:r>
              <w:rPr>
                <w:rFonts w:ascii="Times New Roman" w:hAnsi="Times New Roman"/>
                <w:b w:val="0"/>
                <w:i w:val="0"/>
                <w:sz w:val="18"/>
              </w:rPr>
              <w:t>0.3418</w:t>
            </w:r>
          </w:p>
        </w:tc>
        <w:tc>
          <w:tcPr>
            <w:tcW w:type="dxa" w:w="936"/>
            <w:vAlign w:val="center"/>
            <w:shd w:val="clear" w:color="auto" w:fill="D6E4F7"/>
          </w:tcPr>
          <w:p>
            <w:pPr>
              <w:jc w:val="center"/>
            </w:pPr>
            <w:r>
              <w:rPr>
                <w:rFonts w:ascii="Times New Roman" w:hAnsi="Times New Roman"/>
                <w:b w:val="0"/>
                <w:i w:val="0"/>
                <w:sz w:val="18"/>
              </w:rPr>
              <w:t>0.3385</w:t>
            </w:r>
          </w:p>
        </w:tc>
        <w:tc>
          <w:tcPr>
            <w:tcW w:type="dxa" w:w="936"/>
            <w:vAlign w:val="center"/>
            <w:shd w:val="clear" w:color="auto" w:fill="D6E4F7"/>
          </w:tcPr>
          <w:p>
            <w:pPr>
              <w:jc w:val="center"/>
            </w:pPr>
            <w:r>
              <w:rPr>
                <w:rFonts w:ascii="Times New Roman" w:hAnsi="Times New Roman"/>
                <w:b w:val="0"/>
                <w:i w:val="0"/>
                <w:sz w:val="18"/>
              </w:rPr>
              <w:t>0.1978</w:t>
            </w:r>
          </w:p>
        </w:tc>
        <w:tc>
          <w:tcPr>
            <w:tcW w:type="dxa" w:w="936"/>
            <w:vAlign w:val="center"/>
            <w:shd w:val="clear" w:color="auto" w:fill="D6E4F7"/>
          </w:tcPr>
          <w:p>
            <w:pPr>
              <w:jc w:val="center"/>
            </w:pPr>
            <w:r>
              <w:rPr>
                <w:rFonts w:ascii="Times New Roman" w:hAnsi="Times New Roman"/>
                <w:b w:val="0"/>
                <w:i w:val="0"/>
                <w:sz w:val="18"/>
              </w:rPr>
              <w:t>36.89</w:t>
            </w:r>
          </w:p>
        </w:tc>
      </w:tr>
      <w:tr>
        <w:tc>
          <w:tcPr>
            <w:tcW w:type="dxa" w:w="936"/>
            <w:vAlign w:val="center"/>
          </w:tcPr>
          <w:p>
            <w:pPr>
              <w:jc w:val="center"/>
            </w:pPr>
            <w:r>
              <w:rPr>
                <w:rFonts w:ascii="Times New Roman" w:hAnsi="Times New Roman"/>
                <w:b w:val="0"/>
                <w:i w:val="0"/>
                <w:sz w:val="18"/>
              </w:rPr>
              <w:t>Transformer</w:t>
            </w:r>
          </w:p>
        </w:tc>
        <w:tc>
          <w:tcPr>
            <w:tcW w:type="dxa" w:w="936"/>
            <w:vAlign w:val="center"/>
          </w:tcPr>
          <w:p>
            <w:pPr>
              <w:jc w:val="center"/>
            </w:pPr>
            <w:r>
              <w:rPr>
                <w:rFonts w:ascii="Times New Roman" w:hAnsi="Times New Roman"/>
                <w:b w:val="0"/>
                <w:i w:val="0"/>
                <w:sz w:val="18"/>
              </w:rPr>
              <w:t>DL</w:t>
            </w:r>
          </w:p>
        </w:tc>
        <w:tc>
          <w:tcPr>
            <w:tcW w:type="dxa" w:w="936"/>
            <w:vAlign w:val="center"/>
          </w:tcPr>
          <w:p>
            <w:pPr>
              <w:jc w:val="center"/>
            </w:pPr>
            <w:r>
              <w:rPr>
                <w:rFonts w:ascii="Times New Roman" w:hAnsi="Times New Roman"/>
                <w:b w:val="0"/>
                <w:i w:val="0"/>
                <w:sz w:val="18"/>
              </w:rPr>
              <w:t>Test set</w:t>
            </w:r>
          </w:p>
        </w:tc>
        <w:tc>
          <w:tcPr>
            <w:tcW w:type="dxa" w:w="936"/>
            <w:vAlign w:val="center"/>
          </w:tcPr>
          <w:p>
            <w:pPr>
              <w:jc w:val="center"/>
            </w:pPr>
            <w:r>
              <w:rPr>
                <w:rFonts w:ascii="Times New Roman" w:hAnsi="Times New Roman"/>
                <w:b w:val="0"/>
                <w:i w:val="0"/>
                <w:sz w:val="18"/>
              </w:rPr>
              <w:t>0.9843</w:t>
            </w:r>
          </w:p>
        </w:tc>
        <w:tc>
          <w:tcPr>
            <w:tcW w:type="dxa" w:w="936"/>
            <w:vAlign w:val="center"/>
          </w:tcPr>
          <w:p>
            <w:pPr>
              <w:jc w:val="center"/>
            </w:pPr>
            <w:r>
              <w:rPr>
                <w:rFonts w:ascii="Times New Roman" w:hAnsi="Times New Roman"/>
                <w:b w:val="0"/>
                <w:i w:val="0"/>
                <w:sz w:val="18"/>
              </w:rPr>
              <w:t>0.9549</w:t>
            </w:r>
          </w:p>
        </w:tc>
        <w:tc>
          <w:tcPr>
            <w:tcW w:type="dxa" w:w="936"/>
            <w:vAlign w:val="center"/>
          </w:tcPr>
          <w:p>
            <w:pPr>
              <w:jc w:val="center"/>
            </w:pPr>
            <w:r>
              <w:rPr>
                <w:rFonts w:ascii="Times New Roman" w:hAnsi="Times New Roman"/>
                <w:b w:val="0"/>
                <w:i w:val="0"/>
                <w:sz w:val="18"/>
              </w:rPr>
              <w:t>0.9477</w:t>
            </w:r>
          </w:p>
        </w:tc>
        <w:tc>
          <w:tcPr>
            <w:tcW w:type="dxa" w:w="936"/>
            <w:vAlign w:val="center"/>
          </w:tcPr>
          <w:p>
            <w:pPr>
              <w:jc w:val="center"/>
            </w:pPr>
            <w:r>
              <w:rPr>
                <w:rFonts w:ascii="Times New Roman" w:hAnsi="Times New Roman"/>
                <w:b w:val="0"/>
                <w:i w:val="0"/>
                <w:sz w:val="18"/>
              </w:rPr>
              <w:t>0.0806</w:t>
            </w:r>
          </w:p>
        </w:tc>
        <w:tc>
          <w:tcPr>
            <w:tcW w:type="dxa" w:w="936"/>
            <w:vAlign w:val="center"/>
          </w:tcPr>
          <w:p>
            <w:pPr>
              <w:jc w:val="center"/>
            </w:pPr>
            <w:r>
              <w:rPr>
                <w:rFonts w:ascii="Times New Roman" w:hAnsi="Times New Roman"/>
                <w:b w:val="0"/>
                <w:i w:val="0"/>
                <w:sz w:val="18"/>
              </w:rPr>
              <w:t>0.1423</w:t>
            </w:r>
          </w:p>
        </w:tc>
        <w:tc>
          <w:tcPr>
            <w:tcW w:type="dxa" w:w="936"/>
            <w:vAlign w:val="center"/>
          </w:tcPr>
          <w:p>
            <w:pPr>
              <w:jc w:val="center"/>
            </w:pPr>
            <w:r>
              <w:rPr>
                <w:rFonts w:ascii="Times New Roman" w:hAnsi="Times New Roman"/>
                <w:b w:val="0"/>
                <w:i w:val="0"/>
                <w:sz w:val="18"/>
              </w:rPr>
              <w:t>0.0783</w:t>
            </w:r>
          </w:p>
        </w:tc>
        <w:tc>
          <w:tcPr>
            <w:tcW w:type="dxa" w:w="936"/>
            <w:vAlign w:val="center"/>
          </w:tcPr>
          <w:p>
            <w:pPr>
              <w:jc w:val="center"/>
            </w:pPr>
            <w:r>
              <w:rPr>
                <w:rFonts w:ascii="Times New Roman" w:hAnsi="Times New Roman"/>
                <w:b w:val="0"/>
                <w:i w:val="0"/>
                <w:sz w:val="18"/>
              </w:rPr>
              <w:t>14.30</w:t>
            </w:r>
          </w:p>
        </w:tc>
      </w:tr>
      <w:tr>
        <w:tc>
          <w:tcPr>
            <w:tcW w:type="dxa" w:w="936"/>
            <w:vAlign w:val="center"/>
            <w:shd w:val="clear" w:color="auto" w:fill="D6E4F7"/>
          </w:tcPr>
          <w:p>
            <w:pPr>
              <w:jc w:val="center"/>
            </w:pPr>
            <w:r>
              <w:rPr>
                <w:rFonts w:ascii="Times New Roman" w:hAnsi="Times New Roman"/>
                <w:b w:val="0"/>
                <w:i w:val="0"/>
                <w:sz w:val="18"/>
              </w:rPr>
              <w:t>Random Forest</w:t>
            </w:r>
          </w:p>
        </w:tc>
        <w:tc>
          <w:tcPr>
            <w:tcW w:type="dxa" w:w="936"/>
            <w:vAlign w:val="center"/>
            <w:shd w:val="clear" w:color="auto" w:fill="D6E4F7"/>
          </w:tcPr>
          <w:p>
            <w:pPr>
              <w:jc w:val="center"/>
            </w:pPr>
            <w:r>
              <w:rPr>
                <w:rFonts w:ascii="Times New Roman" w:hAnsi="Times New Roman"/>
                <w:b w:val="0"/>
                <w:i w:val="0"/>
                <w:sz w:val="18"/>
              </w:rPr>
              <w:t>ML</w:t>
            </w:r>
          </w:p>
        </w:tc>
        <w:tc>
          <w:tcPr>
            <w:tcW w:type="dxa" w:w="936"/>
            <w:vAlign w:val="center"/>
            <w:shd w:val="clear" w:color="auto" w:fill="D6E4F7"/>
          </w:tcPr>
          <w:p>
            <w:pPr>
              <w:jc w:val="center"/>
            </w:pPr>
            <w:r>
              <w:rPr>
                <w:rFonts w:ascii="Times New Roman" w:hAnsi="Times New Roman"/>
                <w:b w:val="0"/>
                <w:i w:val="0"/>
                <w:sz w:val="18"/>
              </w:rPr>
              <w:t>OOF 10-fold</w:t>
            </w:r>
          </w:p>
        </w:tc>
        <w:tc>
          <w:tcPr>
            <w:tcW w:type="dxa" w:w="936"/>
            <w:vAlign w:val="center"/>
            <w:shd w:val="clear" w:color="auto" w:fill="D6E4F7"/>
          </w:tcPr>
          <w:p>
            <w:pPr>
              <w:jc w:val="center"/>
            </w:pPr>
            <w:r>
              <w:rPr>
                <w:rFonts w:ascii="Times New Roman" w:hAnsi="Times New Roman"/>
                <w:b w:val="0"/>
                <w:i w:val="0"/>
                <w:sz w:val="18"/>
              </w:rPr>
              <w:t>0.9794</w:t>
            </w:r>
          </w:p>
        </w:tc>
        <w:tc>
          <w:tcPr>
            <w:tcW w:type="dxa" w:w="936"/>
            <w:vAlign w:val="center"/>
            <w:shd w:val="clear" w:color="auto" w:fill="D6E4F7"/>
          </w:tcPr>
          <w:p>
            <w:pPr>
              <w:jc w:val="center"/>
            </w:pPr>
            <w:r>
              <w:rPr>
                <w:rFonts w:ascii="Times New Roman" w:hAnsi="Times New Roman"/>
                <w:b w:val="0"/>
                <w:i w:val="0"/>
                <w:sz w:val="18"/>
              </w:rPr>
              <w:t>0.8847</w:t>
            </w:r>
          </w:p>
        </w:tc>
        <w:tc>
          <w:tcPr>
            <w:tcW w:type="dxa" w:w="936"/>
            <w:vAlign w:val="center"/>
            <w:shd w:val="clear" w:color="auto" w:fill="D6E4F7"/>
          </w:tcPr>
          <w:p>
            <w:pPr>
              <w:jc w:val="center"/>
            </w:pPr>
            <w:r>
              <w:rPr>
                <w:rFonts w:ascii="Times New Roman" w:hAnsi="Times New Roman"/>
                <w:b w:val="0"/>
                <w:i w:val="0"/>
                <w:sz w:val="18"/>
              </w:rPr>
              <w:t>0.8844</w:t>
            </w:r>
          </w:p>
        </w:tc>
        <w:tc>
          <w:tcPr>
            <w:tcW w:type="dxa" w:w="936"/>
            <w:vAlign w:val="center"/>
            <w:shd w:val="clear" w:color="auto" w:fill="D6E4F7"/>
          </w:tcPr>
          <w:p>
            <w:pPr>
              <w:jc w:val="center"/>
            </w:pPr>
            <w:r>
              <w:rPr>
                <w:rFonts w:ascii="Times New Roman" w:hAnsi="Times New Roman"/>
                <w:b w:val="0"/>
                <w:i w:val="0"/>
                <w:sz w:val="18"/>
              </w:rPr>
              <w:t>0.0922</w:t>
            </w:r>
          </w:p>
        </w:tc>
        <w:tc>
          <w:tcPr>
            <w:tcW w:type="dxa" w:w="936"/>
            <w:vAlign w:val="center"/>
            <w:shd w:val="clear" w:color="auto" w:fill="D6E4F7"/>
          </w:tcPr>
          <w:p>
            <w:pPr>
              <w:jc w:val="center"/>
            </w:pPr>
            <w:r>
              <w:rPr>
                <w:rFonts w:ascii="Times New Roman" w:hAnsi="Times New Roman"/>
                <w:b w:val="0"/>
                <w:i w:val="0"/>
                <w:sz w:val="18"/>
              </w:rPr>
              <w:t>0.2185</w:t>
            </w:r>
          </w:p>
        </w:tc>
        <w:tc>
          <w:tcPr>
            <w:tcW w:type="dxa" w:w="936"/>
            <w:vAlign w:val="center"/>
            <w:shd w:val="clear" w:color="auto" w:fill="D6E4F7"/>
          </w:tcPr>
          <w:p>
            <w:pPr>
              <w:jc w:val="center"/>
            </w:pPr>
            <w:r>
              <w:rPr>
                <w:rFonts w:ascii="Times New Roman" w:hAnsi="Times New Roman"/>
                <w:b w:val="0"/>
                <w:i w:val="0"/>
                <w:sz w:val="18"/>
              </w:rPr>
              <w:t>0.1238</w:t>
            </w:r>
          </w:p>
        </w:tc>
        <w:tc>
          <w:tcPr>
            <w:tcW w:type="dxa" w:w="936"/>
            <w:vAlign w:val="center"/>
            <w:shd w:val="clear" w:color="auto" w:fill="D6E4F7"/>
          </w:tcPr>
          <w:p>
            <w:pPr>
              <w:jc w:val="center"/>
            </w:pPr>
            <w:r>
              <w:rPr>
                <w:rFonts w:ascii="Times New Roman" w:hAnsi="Times New Roman"/>
                <w:b w:val="0"/>
                <w:i w:val="0"/>
                <w:sz w:val="18"/>
              </w:rPr>
              <w:t>22.58</w:t>
            </w:r>
          </w:p>
        </w:tc>
      </w:tr>
      <w:tr>
        <w:tc>
          <w:tcPr>
            <w:tcW w:type="dxa" w:w="936"/>
            <w:vAlign w:val="center"/>
          </w:tcPr>
          <w:p>
            <w:pPr>
              <w:jc w:val="center"/>
            </w:pPr>
            <w:r>
              <w:rPr>
                <w:rFonts w:ascii="Times New Roman" w:hAnsi="Times New Roman"/>
                <w:b w:val="0"/>
                <w:i w:val="0"/>
                <w:sz w:val="18"/>
              </w:rPr>
              <w:t>XGBoost</w:t>
            </w:r>
          </w:p>
        </w:tc>
        <w:tc>
          <w:tcPr>
            <w:tcW w:type="dxa" w:w="936"/>
            <w:vAlign w:val="center"/>
          </w:tcPr>
          <w:p>
            <w:pPr>
              <w:jc w:val="center"/>
            </w:pPr>
            <w:r>
              <w:rPr>
                <w:rFonts w:ascii="Times New Roman" w:hAnsi="Times New Roman"/>
                <w:b w:val="0"/>
                <w:i w:val="0"/>
                <w:sz w:val="18"/>
              </w:rPr>
              <w:t>ML</w:t>
            </w:r>
          </w:p>
        </w:tc>
        <w:tc>
          <w:tcPr>
            <w:tcW w:type="dxa" w:w="936"/>
            <w:vAlign w:val="center"/>
          </w:tcPr>
          <w:p>
            <w:pPr>
              <w:jc w:val="center"/>
            </w:pPr>
            <w:r>
              <w:rPr>
                <w:rFonts w:ascii="Times New Roman" w:hAnsi="Times New Roman"/>
                <w:b w:val="0"/>
                <w:i w:val="0"/>
                <w:sz w:val="18"/>
              </w:rPr>
              <w:t>OOF 10-fold</w:t>
            </w:r>
          </w:p>
        </w:tc>
        <w:tc>
          <w:tcPr>
            <w:tcW w:type="dxa" w:w="936"/>
            <w:vAlign w:val="center"/>
          </w:tcPr>
          <w:p>
            <w:pPr>
              <w:jc w:val="center"/>
            </w:pPr>
            <w:r>
              <w:rPr>
                <w:rFonts w:ascii="Times New Roman" w:hAnsi="Times New Roman"/>
                <w:b w:val="0"/>
                <w:i w:val="0"/>
                <w:sz w:val="18"/>
              </w:rPr>
              <w:t>0.9995</w:t>
            </w:r>
          </w:p>
        </w:tc>
        <w:tc>
          <w:tcPr>
            <w:tcW w:type="dxa" w:w="936"/>
            <w:vAlign w:val="center"/>
          </w:tcPr>
          <w:p>
            <w:pPr>
              <w:jc w:val="center"/>
            </w:pPr>
            <w:r>
              <w:rPr>
                <w:rFonts w:ascii="Times New Roman" w:hAnsi="Times New Roman"/>
                <w:b w:val="0"/>
                <w:i w:val="0"/>
                <w:sz w:val="18"/>
              </w:rPr>
              <w:t>0.9408</w:t>
            </w:r>
          </w:p>
        </w:tc>
        <w:tc>
          <w:tcPr>
            <w:tcW w:type="dxa" w:w="936"/>
            <w:vAlign w:val="center"/>
          </w:tcPr>
          <w:p>
            <w:pPr>
              <w:jc w:val="center"/>
            </w:pPr>
            <w:r>
              <w:rPr>
                <w:rFonts w:ascii="Times New Roman" w:hAnsi="Times New Roman"/>
                <w:b w:val="0"/>
                <w:i w:val="0"/>
                <w:sz w:val="18"/>
              </w:rPr>
              <w:t>0.9399</w:t>
            </w:r>
          </w:p>
        </w:tc>
        <w:tc>
          <w:tcPr>
            <w:tcW w:type="dxa" w:w="936"/>
            <w:vAlign w:val="center"/>
          </w:tcPr>
          <w:p>
            <w:pPr>
              <w:jc w:val="center"/>
            </w:pPr>
            <w:r>
              <w:rPr>
                <w:rFonts w:ascii="Times New Roman" w:hAnsi="Times New Roman"/>
                <w:b w:val="0"/>
                <w:i w:val="0"/>
                <w:sz w:val="18"/>
              </w:rPr>
              <w:t>0.0144</w:t>
            </w:r>
          </w:p>
        </w:tc>
        <w:tc>
          <w:tcPr>
            <w:tcW w:type="dxa" w:w="936"/>
            <w:vAlign w:val="center"/>
          </w:tcPr>
          <w:p>
            <w:pPr>
              <w:jc w:val="center"/>
            </w:pPr>
            <w:r>
              <w:rPr>
                <w:rFonts w:ascii="Times New Roman" w:hAnsi="Times New Roman"/>
                <w:b w:val="0"/>
                <w:i w:val="0"/>
                <w:sz w:val="18"/>
              </w:rPr>
              <w:t>0.1575</w:t>
            </w:r>
          </w:p>
        </w:tc>
        <w:tc>
          <w:tcPr>
            <w:tcW w:type="dxa" w:w="936"/>
            <w:vAlign w:val="center"/>
          </w:tcPr>
          <w:p>
            <w:pPr>
              <w:jc w:val="center"/>
            </w:pPr>
            <w:r>
              <w:rPr>
                <w:rFonts w:ascii="Times New Roman" w:hAnsi="Times New Roman"/>
                <w:b w:val="0"/>
                <w:i w:val="0"/>
                <w:sz w:val="18"/>
              </w:rPr>
              <w:t>0.0794</w:t>
            </w:r>
          </w:p>
        </w:tc>
        <w:tc>
          <w:tcPr>
            <w:tcW w:type="dxa" w:w="936"/>
            <w:vAlign w:val="center"/>
          </w:tcPr>
          <w:p>
            <w:pPr>
              <w:jc w:val="center"/>
            </w:pPr>
            <w:r>
              <w:rPr>
                <w:rFonts w:ascii="Times New Roman" w:hAnsi="Times New Roman"/>
                <w:b w:val="0"/>
                <w:i w:val="0"/>
                <w:sz w:val="18"/>
              </w:rPr>
              <w:t>12.64</w:t>
            </w:r>
          </w:p>
        </w:tc>
      </w:tr>
      <w:tr>
        <w:tc>
          <w:tcPr>
            <w:tcW w:type="dxa" w:w="936"/>
            <w:vAlign w:val="center"/>
            <w:shd w:val="clear" w:color="auto" w:fill="D6E4F7"/>
          </w:tcPr>
          <w:p>
            <w:pPr>
              <w:jc w:val="center"/>
            </w:pPr>
            <w:r>
              <w:rPr>
                <w:rFonts w:ascii="Times New Roman" w:hAnsi="Times New Roman"/>
                <w:b w:val="0"/>
                <w:i w:val="0"/>
                <w:sz w:val="18"/>
              </w:rPr>
              <w:t>SVR</w:t>
            </w:r>
          </w:p>
        </w:tc>
        <w:tc>
          <w:tcPr>
            <w:tcW w:type="dxa" w:w="936"/>
            <w:vAlign w:val="center"/>
            <w:shd w:val="clear" w:color="auto" w:fill="D6E4F7"/>
          </w:tcPr>
          <w:p>
            <w:pPr>
              <w:jc w:val="center"/>
            </w:pPr>
            <w:r>
              <w:rPr>
                <w:rFonts w:ascii="Times New Roman" w:hAnsi="Times New Roman"/>
                <w:b w:val="0"/>
                <w:i w:val="0"/>
                <w:sz w:val="18"/>
              </w:rPr>
              <w:t>ML</w:t>
            </w:r>
          </w:p>
        </w:tc>
        <w:tc>
          <w:tcPr>
            <w:tcW w:type="dxa" w:w="936"/>
            <w:vAlign w:val="center"/>
            <w:shd w:val="clear" w:color="auto" w:fill="D6E4F7"/>
          </w:tcPr>
          <w:p>
            <w:pPr>
              <w:jc w:val="center"/>
            </w:pPr>
            <w:r>
              <w:rPr>
                <w:rFonts w:ascii="Times New Roman" w:hAnsi="Times New Roman"/>
                <w:b w:val="0"/>
                <w:i w:val="0"/>
                <w:sz w:val="18"/>
              </w:rPr>
              <w:t>OOF 10-fold</w:t>
            </w:r>
          </w:p>
        </w:tc>
        <w:tc>
          <w:tcPr>
            <w:tcW w:type="dxa" w:w="936"/>
            <w:vAlign w:val="center"/>
            <w:shd w:val="clear" w:color="auto" w:fill="D6E4F7"/>
          </w:tcPr>
          <w:p>
            <w:pPr>
              <w:jc w:val="center"/>
            </w:pPr>
            <w:r>
              <w:rPr>
                <w:rFonts w:ascii="Times New Roman" w:hAnsi="Times New Roman"/>
                <w:b w:val="0"/>
                <w:i w:val="0"/>
                <w:sz w:val="18"/>
              </w:rPr>
              <w:t>0.9775</w:t>
            </w:r>
          </w:p>
        </w:tc>
        <w:tc>
          <w:tcPr>
            <w:tcW w:type="dxa" w:w="936"/>
            <w:vAlign w:val="center"/>
            <w:shd w:val="clear" w:color="auto" w:fill="D6E4F7"/>
          </w:tcPr>
          <w:p>
            <w:pPr>
              <w:jc w:val="center"/>
            </w:pPr>
            <w:r>
              <w:rPr>
                <w:rFonts w:ascii="Times New Roman" w:hAnsi="Times New Roman"/>
                <w:b w:val="0"/>
                <w:i w:val="0"/>
                <w:sz w:val="18"/>
              </w:rPr>
              <w:t>0.8366</w:t>
            </w:r>
          </w:p>
        </w:tc>
        <w:tc>
          <w:tcPr>
            <w:tcW w:type="dxa" w:w="936"/>
            <w:vAlign w:val="center"/>
            <w:shd w:val="clear" w:color="auto" w:fill="D6E4F7"/>
          </w:tcPr>
          <w:p>
            <w:pPr>
              <w:jc w:val="center"/>
            </w:pPr>
            <w:r>
              <w:rPr>
                <w:rFonts w:ascii="Times New Roman" w:hAnsi="Times New Roman"/>
                <w:b w:val="0"/>
                <w:i w:val="0"/>
                <w:sz w:val="18"/>
              </w:rPr>
              <w:t>0.8351</w:t>
            </w:r>
          </w:p>
        </w:tc>
        <w:tc>
          <w:tcPr>
            <w:tcW w:type="dxa" w:w="936"/>
            <w:vAlign w:val="center"/>
            <w:shd w:val="clear" w:color="auto" w:fill="D6E4F7"/>
          </w:tcPr>
          <w:p>
            <w:pPr>
              <w:jc w:val="center"/>
            </w:pPr>
            <w:r>
              <w:rPr>
                <w:rFonts w:ascii="Times New Roman" w:hAnsi="Times New Roman"/>
                <w:b w:val="0"/>
                <w:i w:val="0"/>
                <w:sz w:val="18"/>
              </w:rPr>
              <w:t>0.0964</w:t>
            </w:r>
          </w:p>
        </w:tc>
        <w:tc>
          <w:tcPr>
            <w:tcW w:type="dxa" w:w="936"/>
            <w:vAlign w:val="center"/>
            <w:shd w:val="clear" w:color="auto" w:fill="D6E4F7"/>
          </w:tcPr>
          <w:p>
            <w:pPr>
              <w:jc w:val="center"/>
            </w:pPr>
            <w:r>
              <w:rPr>
                <w:rFonts w:ascii="Times New Roman" w:hAnsi="Times New Roman"/>
                <w:b w:val="0"/>
                <w:i w:val="0"/>
                <w:sz w:val="18"/>
              </w:rPr>
              <w:t>0.2610</w:t>
            </w:r>
          </w:p>
        </w:tc>
        <w:tc>
          <w:tcPr>
            <w:tcW w:type="dxa" w:w="936"/>
            <w:vAlign w:val="center"/>
            <w:shd w:val="clear" w:color="auto" w:fill="D6E4F7"/>
          </w:tcPr>
          <w:p>
            <w:pPr>
              <w:jc w:val="center"/>
            </w:pPr>
            <w:r>
              <w:rPr>
                <w:rFonts w:ascii="Times New Roman" w:hAnsi="Times New Roman"/>
                <w:b w:val="0"/>
                <w:i w:val="0"/>
                <w:sz w:val="18"/>
              </w:rPr>
              <w:t>0.1473</w:t>
            </w:r>
          </w:p>
        </w:tc>
        <w:tc>
          <w:tcPr>
            <w:tcW w:type="dxa" w:w="936"/>
            <w:vAlign w:val="center"/>
            <w:shd w:val="clear" w:color="auto" w:fill="D6E4F7"/>
          </w:tcPr>
          <w:p>
            <w:pPr>
              <w:jc w:val="center"/>
            </w:pPr>
            <w:r>
              <w:rPr>
                <w:rFonts w:ascii="Times New Roman" w:hAnsi="Times New Roman"/>
                <w:b w:val="0"/>
                <w:i w:val="0"/>
                <w:sz w:val="18"/>
              </w:rPr>
              <w:t>32.93</w:t>
            </w:r>
          </w:p>
        </w:tc>
      </w:tr>
      <w:tr>
        <w:tc>
          <w:tcPr>
            <w:tcW w:type="dxa" w:w="936"/>
            <w:vAlign w:val="center"/>
          </w:tcPr>
          <w:p>
            <w:pPr>
              <w:jc w:val="center"/>
            </w:pPr>
            <w:r>
              <w:rPr>
                <w:rFonts w:ascii="Times New Roman" w:hAnsi="Times New Roman"/>
                <w:b w:val="0"/>
                <w:i w:val="0"/>
                <w:sz w:val="18"/>
              </w:rPr>
              <w:t>Gradient Boosting</w:t>
            </w:r>
          </w:p>
        </w:tc>
        <w:tc>
          <w:tcPr>
            <w:tcW w:type="dxa" w:w="936"/>
            <w:vAlign w:val="center"/>
          </w:tcPr>
          <w:p>
            <w:pPr>
              <w:jc w:val="center"/>
            </w:pPr>
            <w:r>
              <w:rPr>
                <w:rFonts w:ascii="Times New Roman" w:hAnsi="Times New Roman"/>
                <w:b w:val="0"/>
                <w:i w:val="0"/>
                <w:sz w:val="18"/>
              </w:rPr>
              <w:t>ML</w:t>
            </w:r>
          </w:p>
        </w:tc>
        <w:tc>
          <w:tcPr>
            <w:tcW w:type="dxa" w:w="936"/>
            <w:vAlign w:val="center"/>
          </w:tcPr>
          <w:p>
            <w:pPr>
              <w:jc w:val="center"/>
            </w:pPr>
            <w:r>
              <w:rPr>
                <w:rFonts w:ascii="Times New Roman" w:hAnsi="Times New Roman"/>
                <w:b w:val="0"/>
                <w:i w:val="0"/>
                <w:sz w:val="18"/>
              </w:rPr>
              <w:t>OOF 10-fold</w:t>
            </w:r>
          </w:p>
        </w:tc>
        <w:tc>
          <w:tcPr>
            <w:tcW w:type="dxa" w:w="936"/>
            <w:vAlign w:val="center"/>
          </w:tcPr>
          <w:p>
            <w:pPr>
              <w:jc w:val="center"/>
            </w:pPr>
            <w:r>
              <w:rPr>
                <w:rFonts w:ascii="Times New Roman" w:hAnsi="Times New Roman"/>
                <w:b w:val="0"/>
                <w:i w:val="0"/>
                <w:sz w:val="18"/>
              </w:rPr>
              <w:t>0.9982</w:t>
            </w:r>
          </w:p>
        </w:tc>
        <w:tc>
          <w:tcPr>
            <w:tcW w:type="dxa" w:w="936"/>
            <w:vAlign w:val="center"/>
          </w:tcPr>
          <w:p>
            <w:pPr>
              <w:jc w:val="center"/>
            </w:pPr>
            <w:r>
              <w:rPr>
                <w:rFonts w:ascii="Times New Roman" w:hAnsi="Times New Roman"/>
                <w:b w:val="0"/>
                <w:i w:val="0"/>
                <w:sz w:val="18"/>
              </w:rPr>
              <w:t>0.9470</w:t>
            </w:r>
          </w:p>
        </w:tc>
        <w:tc>
          <w:tcPr>
            <w:tcW w:type="dxa" w:w="936"/>
            <w:vAlign w:val="center"/>
          </w:tcPr>
          <w:p>
            <w:pPr>
              <w:jc w:val="center"/>
            </w:pPr>
            <w:r>
              <w:rPr>
                <w:rFonts w:ascii="Times New Roman" w:hAnsi="Times New Roman"/>
                <w:b w:val="0"/>
                <w:i w:val="0"/>
                <w:sz w:val="18"/>
              </w:rPr>
              <w:t>0.9468</w:t>
            </w:r>
          </w:p>
        </w:tc>
        <w:tc>
          <w:tcPr>
            <w:tcW w:type="dxa" w:w="936"/>
            <w:vAlign w:val="center"/>
          </w:tcPr>
          <w:p>
            <w:pPr>
              <w:jc w:val="center"/>
            </w:pPr>
            <w:r>
              <w:rPr>
                <w:rFonts w:ascii="Times New Roman" w:hAnsi="Times New Roman"/>
                <w:b w:val="0"/>
                <w:i w:val="0"/>
                <w:sz w:val="18"/>
              </w:rPr>
              <w:t>0.0272</w:t>
            </w:r>
          </w:p>
        </w:tc>
        <w:tc>
          <w:tcPr>
            <w:tcW w:type="dxa" w:w="936"/>
            <w:vAlign w:val="center"/>
          </w:tcPr>
          <w:p>
            <w:pPr>
              <w:jc w:val="center"/>
            </w:pPr>
            <w:r>
              <w:rPr>
                <w:rFonts w:ascii="Times New Roman" w:hAnsi="Times New Roman"/>
                <w:b w:val="0"/>
                <w:i w:val="0"/>
                <w:sz w:val="18"/>
              </w:rPr>
              <w:t>0.1482</w:t>
            </w:r>
          </w:p>
        </w:tc>
        <w:tc>
          <w:tcPr>
            <w:tcW w:type="dxa" w:w="936"/>
            <w:vAlign w:val="center"/>
          </w:tcPr>
          <w:p>
            <w:pPr>
              <w:jc w:val="center"/>
            </w:pPr>
            <w:r>
              <w:rPr>
                <w:rFonts w:ascii="Times New Roman" w:hAnsi="Times New Roman"/>
                <w:b w:val="0"/>
                <w:i w:val="0"/>
                <w:sz w:val="18"/>
              </w:rPr>
              <w:t>0.0760</w:t>
            </w:r>
          </w:p>
        </w:tc>
        <w:tc>
          <w:tcPr>
            <w:tcW w:type="dxa" w:w="936"/>
            <w:vAlign w:val="center"/>
          </w:tcPr>
          <w:p>
            <w:pPr>
              <w:jc w:val="center"/>
            </w:pPr>
            <w:r>
              <w:rPr>
                <w:rFonts w:ascii="Times New Roman" w:hAnsi="Times New Roman"/>
                <w:b w:val="0"/>
                <w:i w:val="0"/>
                <w:sz w:val="18"/>
              </w:rPr>
              <w:t>12.67</w:t>
            </w:r>
          </w:p>
        </w:tc>
      </w:tr>
    </w:tbl>
    <w:p/>
    <w:p>
      <w:pPr>
        <w:spacing w:before="240" w:after="80"/>
        <w:jc w:val="left"/>
      </w:pPr>
      <w:r>
        <w:rPr>
          <w:rFonts w:ascii="Times New Roman" w:hAnsi="Times New Roman"/>
          <w:b/>
          <w:i w:val="0"/>
          <w:sz w:val="24"/>
        </w:rPr>
        <w:t>4.2 DL Learning Curves</w:t>
      </w:r>
    </w:p>
    <w:p>
      <w:pPr>
        <w:spacing w:after="120"/>
        <w:ind w:firstLine="567"/>
        <w:jc w:val="both"/>
      </w:pPr>
      <w:r>
        <w:rPr>
          <w:rFonts w:ascii="Times New Roman" w:hAnsi="Times New Roman"/>
          <w:b w:val="0"/>
          <w:i w:val="0"/>
          <w:sz w:val="22"/>
        </w:rPr>
        <w:t>Figure 6 shows the training and validation MSE loss curves over 200 epochs for all four DL architectures. The Transformer and CNN-1D converge rapidly within the first 25 epochs, with validation loss plateauing at low values (&lt; 0.10 scaled MSE). The MLP exhibits a slightly higher validation plateau (~0.13), consistent with its lower test R² relative to the Transformer and CNN-1D. The LSTM displays persistent oscillation throughout training (training MSE ≈ 0.25–0.30), confirming instability when applied to non-sequential tabular inputs. The ReduceLROnPlateau callback effectively reduced oscillation for MLP, CNN-1D, and Transformer without premature stopping.</w:t>
      </w:r>
    </w:p>
    <w:p>
      <w:pPr>
        <w:spacing w:after="120"/>
        <w:jc w:val="center"/>
      </w:pPr>
      <w:r>
        <w:rPr>
          <w:rFonts w:ascii="Times New Roman" w:hAnsi="Times New Roman"/>
          <w:b w:val="0"/>
          <w:i/>
          <w:sz w:val="22"/>
        </w:rPr>
        <w:t>[Figure not found: fig07_learning_curves.png]</w:t>
      </w:r>
    </w:p>
    <w:p>
      <w:pPr>
        <w:spacing w:before="80" w:after="200"/>
        <w:jc w:val="center"/>
      </w:pPr>
      <w:r>
        <w:rPr>
          <w:rFonts w:ascii="Times New Roman" w:hAnsi="Times New Roman"/>
          <w:b w:val="0"/>
          <w:i/>
          <w:sz w:val="20"/>
        </w:rPr>
        <w:t>Figure 6. DL model training (left) and validation (right) MSE loss curves over 200 epochs. All models share the same hyperparameter budget.</w:t>
      </w:r>
    </w:p>
    <w:p>
      <w:pPr>
        <w:spacing w:before="240" w:after="80"/>
        <w:jc w:val="left"/>
      </w:pPr>
      <w:r>
        <w:rPr>
          <w:rFonts w:ascii="Times New Roman" w:hAnsi="Times New Roman"/>
          <w:b/>
          <w:i w:val="0"/>
          <w:sz w:val="24"/>
        </w:rPr>
        <w:t>4.3 R² and RMSE Comparison Across Split Phases</w:t>
      </w:r>
    </w:p>
    <w:p>
      <w:pPr>
        <w:spacing w:after="120"/>
        <w:ind w:firstLine="567"/>
        <w:jc w:val="both"/>
      </w:pPr>
      <w:r>
        <w:rPr>
          <w:rFonts w:ascii="Times New Roman" w:hAnsi="Times New Roman"/>
          <w:b w:val="0"/>
          <w:i w:val="0"/>
          <w:sz w:val="22"/>
        </w:rPr>
        <w:t>Figure 7 and Figure 8 present grouped bar charts of R² and RMSE respectively, disaggregated by evaluation phase (train / validation / test for DL; CV train fold / OOF for ML). Key observations include: (1) all models achieve near-perfect training-phase R² (&gt; 0.97 for DL, &gt; 0.97 for ML), with XGBoost and GBM reaching train R² &gt; 0.999, indicative of high memorisation capacity; (2) the gap between train and test/OOF R² is widest for SVR (Δ = 0.142) and LSTM (Δ = 0.014), and narrowest for Transformer (Δ = 0.037) and GBM (Δ = 0.051), suggesting better generalisation for these models; (3) across all models, validation and test R² values are closely aligned for DL, confirming that the validation set provided an unbiased signal during training.</w:t>
      </w:r>
    </w:p>
    <w:p>
      <w:pPr>
        <w:spacing w:after="120"/>
        <w:jc w:val="center"/>
      </w:pPr>
      <w:r>
        <w:rPr>
          <w:rFonts w:ascii="Times New Roman" w:hAnsi="Times New Roman"/>
          <w:b w:val="0"/>
          <w:i/>
          <w:sz w:val="22"/>
        </w:rPr>
        <w:t>[Figure not found: fig08_train_test_r2.png]</w:t>
      </w:r>
    </w:p>
    <w:p>
      <w:pPr>
        <w:spacing w:before="80" w:after="200"/>
        <w:jc w:val="center"/>
      </w:pPr>
      <w:r>
        <w:rPr>
          <w:rFonts w:ascii="Times New Roman" w:hAnsi="Times New Roman"/>
          <w:b w:val="0"/>
          <w:i/>
          <w:sz w:val="20"/>
        </w:rPr>
        <w:t>Figure 7. R² grouped bar chart for all eight models, split by evaluation phase. DL: train/validation/test. ML: CV train fold/OOF. Dashed vertical line separates DL (left) from shallow ML (right).</w:t>
      </w:r>
    </w:p>
    <w:p>
      <w:pPr>
        <w:spacing w:after="120"/>
        <w:jc w:val="center"/>
      </w:pPr>
      <w:r>
        <w:rPr>
          <w:rFonts w:ascii="Times New Roman" w:hAnsi="Times New Roman"/>
          <w:b w:val="0"/>
          <w:i/>
          <w:sz w:val="22"/>
        </w:rPr>
        <w:t>[Figure not found: fig09_train_test_rmse.png]</w:t>
      </w:r>
    </w:p>
    <w:p>
      <w:pPr>
        <w:spacing w:before="80" w:after="200"/>
        <w:jc w:val="center"/>
      </w:pPr>
      <w:r>
        <w:rPr>
          <w:rFonts w:ascii="Times New Roman" w:hAnsi="Times New Roman"/>
          <w:b w:val="0"/>
          <w:i/>
          <w:sz w:val="20"/>
        </w:rPr>
        <w:t>Figure 8. RMSE grouped bar chart for all eight models, split by evaluation phase. Lower values indicate better performance.</w:t>
      </w:r>
    </w:p>
    <w:p>
      <w:pPr>
        <w:spacing w:before="240" w:after="80"/>
        <w:jc w:val="left"/>
      </w:pPr>
      <w:r>
        <w:rPr>
          <w:rFonts w:ascii="Times New Roman" w:hAnsi="Times New Roman"/>
          <w:b/>
          <w:i w:val="0"/>
          <w:sz w:val="24"/>
        </w:rPr>
        <w:t>4.4 Aggregated Test/OOF Metrics</w:t>
      </w:r>
    </w:p>
    <w:p>
      <w:pPr>
        <w:spacing w:after="120"/>
        <w:ind w:firstLine="567"/>
        <w:jc w:val="both"/>
      </w:pPr>
      <w:r>
        <w:rPr>
          <w:rFonts w:ascii="Times New Roman" w:hAnsi="Times New Roman"/>
          <w:b w:val="0"/>
          <w:i w:val="0"/>
          <w:sz w:val="22"/>
        </w:rPr>
        <w:t>Figure 9 summarises test/OOF RMSE, MAE, R², and MAPE across all models. The Transformer and Gradient Boosting are Pareto-dominant across most metrics. LSTM and SVR are consistently inferior. Notably, XGBoost achieves the lowest MAPE (12.64 %) and is tied for best MAE (0.0794 %), marginally outperforming Gradient Boosting (MAPE = 12.67 %, MAE = 0.0760 %). The Transformer achieves the highest R² among DL models and effectively matches the best shallow ML models.</w:t>
      </w:r>
    </w:p>
    <w:p>
      <w:pPr>
        <w:spacing w:after="120"/>
        <w:jc w:val="center"/>
      </w:pPr>
      <w:r>
        <w:rPr>
          <w:rFonts w:ascii="Times New Roman" w:hAnsi="Times New Roman"/>
          <w:b w:val="0"/>
          <w:i/>
          <w:sz w:val="22"/>
        </w:rPr>
        <w:t>[Figure not found: fig10_metric_bars.png]</w:t>
      </w:r>
    </w:p>
    <w:p>
      <w:pPr>
        <w:spacing w:before="80" w:after="200"/>
        <w:jc w:val="center"/>
      </w:pPr>
      <w:r>
        <w:rPr>
          <w:rFonts w:ascii="Times New Roman" w:hAnsi="Times New Roman"/>
          <w:b w:val="0"/>
          <w:i/>
          <w:sz w:val="20"/>
        </w:rPr>
        <w:t>Figure 9. Test/OOF aggregate metrics (RMSE, MAE, R², MAPE) for all eight models. Colour coding is consistent across all panels.</w:t>
      </w:r>
    </w:p>
    <w:p>
      <w:pPr>
        <w:spacing w:before="240" w:after="80"/>
        <w:jc w:val="left"/>
      </w:pPr>
      <w:r>
        <w:rPr>
          <w:rFonts w:ascii="Times New Roman" w:hAnsi="Times New Roman"/>
          <w:b/>
          <w:i w:val="0"/>
          <w:sz w:val="24"/>
        </w:rPr>
        <w:t>4.5 10-Fold CV Stability — Shallow ML</w:t>
      </w:r>
    </w:p>
    <w:p>
      <w:pPr>
        <w:spacing w:after="120"/>
        <w:ind w:firstLine="567"/>
        <w:jc w:val="both"/>
      </w:pPr>
      <w:r>
        <w:rPr>
          <w:rFonts w:ascii="Times New Roman" w:hAnsi="Times New Roman"/>
          <w:b w:val="0"/>
          <w:i w:val="0"/>
          <w:sz w:val="22"/>
        </w:rPr>
        <w:t>Figure 10 presents box plots of the 10-fold cross-validation R², RMSE, MAE, and MAPE distributions for the four shallow ML models. XGBoost and Gradient Boosting demonstrate compact interquartile ranges (IQR), indicating stable performance across folds. Random Forest shows slightly wider IQR for RMSE, suggesting moderate sensitivity to fold composition. SVR exhibits the highest variance and worst median performance across all metrics, particularly MAPE (median ~32 %), confirming its unsuitability for this prediction task. The low fold-to-fold variance of GBM and XGBoost establishes these as robust choices for production deployment.</w:t>
      </w:r>
    </w:p>
    <w:p>
      <w:pPr>
        <w:spacing w:after="120"/>
        <w:jc w:val="center"/>
      </w:pPr>
      <w:r>
        <w:rPr>
          <w:rFonts w:ascii="Times New Roman" w:hAnsi="Times New Roman"/>
          <w:b w:val="0"/>
          <w:i/>
          <w:sz w:val="22"/>
        </w:rPr>
        <w:t>[Figure not found: fig11_cv_boxplots.png]</w:t>
      </w:r>
    </w:p>
    <w:p>
      <w:pPr>
        <w:spacing w:before="80" w:after="200"/>
        <w:jc w:val="center"/>
      </w:pPr>
      <w:r>
        <w:rPr>
          <w:rFonts w:ascii="Times New Roman" w:hAnsi="Times New Roman"/>
          <w:b w:val="0"/>
          <w:i/>
          <w:sz w:val="20"/>
        </w:rPr>
        <w:t>Figure 10. 10-fold cross-validation metric distributions for the four shallow ML models. Boxes span the interquartile range; whiskers extend to 1.5×IQR; circles denote outlier folds.</w:t>
      </w:r>
    </w:p>
    <w:p>
      <w:pPr>
        <w:spacing w:before="240" w:after="80"/>
        <w:jc w:val="left"/>
      </w:pPr>
      <w:r>
        <w:rPr>
          <w:rFonts w:ascii="Times New Roman" w:hAnsi="Times New Roman"/>
          <w:b/>
          <w:i w:val="0"/>
          <w:sz w:val="24"/>
        </w:rPr>
        <w:t>4.6 Actual vs. Predicted Analysis</w:t>
      </w:r>
    </w:p>
    <w:p>
      <w:pPr>
        <w:spacing w:after="120"/>
        <w:ind w:firstLine="567"/>
        <w:jc w:val="both"/>
      </w:pPr>
      <w:r>
        <w:rPr>
          <w:rFonts w:ascii="Times New Roman" w:hAnsi="Times New Roman"/>
          <w:b w:val="0"/>
          <w:i w:val="0"/>
          <w:sz w:val="22"/>
        </w:rPr>
        <w:t>Figure 11 presents actual vs. predicted scatter plots for all eight models. DL models show train (green), validation (orange), and test (blue) points; ML models show CV train fold (green) and OOF (blue) points. The Transformer and CNN-1D exhibit tight alignment with the 45° identity line across all ORF magnitudes. The LSTM systematically underpredicts high ORF values (&gt; 2 %), as evidenced by the cluster of test points below the diagonal. Among ML models, XGBoost and Gradient Boosting achieve near-perfect train-fold predictions, with OOF scatter remaining tightly constrained to the identity line. SVR displays a pronounced funnelling pattern, underestimating high ORF values — a known limitation of RBF-SVR on skewed target distributions.</w:t>
      </w:r>
    </w:p>
    <w:p>
      <w:pPr>
        <w:spacing w:after="120"/>
        <w:jc w:val="center"/>
      </w:pPr>
      <w:r>
        <w:rPr>
          <w:rFonts w:ascii="Times New Roman" w:hAnsi="Times New Roman"/>
          <w:b w:val="0"/>
          <w:i/>
          <w:sz w:val="22"/>
        </w:rPr>
        <w:t>[Figure not found: fig12_actual_vs_predicted.png]</w:t>
      </w:r>
    </w:p>
    <w:p>
      <w:pPr>
        <w:spacing w:before="80" w:after="200"/>
        <w:jc w:val="center"/>
      </w:pPr>
      <w:r>
        <w:rPr>
          <w:rFonts w:ascii="Times New Roman" w:hAnsi="Times New Roman"/>
          <w:b w:val="0"/>
          <w:i/>
          <w:sz w:val="20"/>
        </w:rPr>
        <w:t>Figure 11. Actual vs. predicted scatter plots for all eight models. Dashed diagonal line represents perfect prediction (slope = 1). Inset text boxes report R² and RMSE by split phase.</w:t>
      </w:r>
    </w:p>
    <w:p>
      <w:pPr>
        <w:spacing w:before="240" w:after="80"/>
        <w:jc w:val="left"/>
      </w:pPr>
      <w:r>
        <w:rPr>
          <w:rFonts w:ascii="Times New Roman" w:hAnsi="Times New Roman"/>
          <w:b/>
          <w:i w:val="0"/>
          <w:sz w:val="24"/>
        </w:rPr>
        <w:t>4.7 Residual Analysis</w:t>
      </w:r>
    </w:p>
    <w:p>
      <w:pPr>
        <w:spacing w:after="120"/>
        <w:ind w:firstLine="567"/>
        <w:jc w:val="both"/>
      </w:pPr>
      <w:r>
        <w:rPr>
          <w:rFonts w:ascii="Times New Roman" w:hAnsi="Times New Roman"/>
          <w:b w:val="0"/>
          <w:i w:val="0"/>
          <w:sz w:val="22"/>
        </w:rPr>
        <w:t>Figure 12 shows residual histograms for all models. DL models exhibit approximately symmetric, zero-centred distributions, with mean residuals close to zero: Transformer (−0.005), CNN-1D (+0.015), MLP (+0.049). The LSTM residuals are right-skewed (mean = +0.098), indicating systematic underestimation. ML residual distributions are considerably more concentrated around zero (RF: 0.000, XGBoost: 0.003, GBM: 0.001), consistent with their strong OOF performance.</w:t>
      </w:r>
    </w:p>
    <w:p>
      <w:pPr>
        <w:spacing w:after="120"/>
        <w:jc w:val="center"/>
      </w:pPr>
      <w:r>
        <w:rPr>
          <w:rFonts w:ascii="Times New Roman" w:hAnsi="Times New Roman"/>
          <w:b w:val="0"/>
          <w:i/>
          <w:sz w:val="22"/>
        </w:rPr>
        <w:t>[Figure not found: fig13_residuals.png]</w:t>
      </w:r>
    </w:p>
    <w:p>
      <w:pPr>
        <w:spacing w:before="80" w:after="200"/>
        <w:jc w:val="center"/>
      </w:pPr>
      <w:r>
        <w:rPr>
          <w:rFonts w:ascii="Times New Roman" w:hAnsi="Times New Roman"/>
          <w:b w:val="0"/>
          <w:i/>
          <w:sz w:val="20"/>
        </w:rPr>
        <w:t>Figure 12. Residual distributions for all eight models. Vertical dashed lines mark zero residual. Mean residual values are annotated in each subplot title.</w:t>
      </w:r>
    </w:p>
    <w:p>
      <w:pPr>
        <w:spacing w:before="240" w:after="80"/>
        <w:jc w:val="left"/>
      </w:pPr>
      <w:r>
        <w:rPr>
          <w:rFonts w:ascii="Times New Roman" w:hAnsi="Times New Roman"/>
          <w:b/>
          <w:i w:val="0"/>
          <w:sz w:val="24"/>
        </w:rPr>
        <w:t>4.8 Homoscedasticity Check</w:t>
      </w:r>
    </w:p>
    <w:p>
      <w:pPr>
        <w:spacing w:after="120"/>
        <w:ind w:firstLine="567"/>
        <w:jc w:val="both"/>
      </w:pPr>
      <w:r>
        <w:rPr>
          <w:rFonts w:ascii="Times New Roman" w:hAnsi="Times New Roman"/>
          <w:b w:val="0"/>
          <w:i w:val="0"/>
          <w:sz w:val="22"/>
        </w:rPr>
        <w:t>Figure 13 plots residuals against predicted values. Homoscedastic models produce residuals that are uniformly scattered around zero across the full prediction range. The Transformer exhibits the most homoscedastic pattern among DL models, with residuals tightly bounded to ±0.5 across all predicted values. The LSTM shows a pronounced heteroscedastic funnel — residuals increase substantially for predicted values above 0.5 %. Among ML models, XGBoost and Gradient Boosting display near-perfect homoscedasticity, whereas SVR and Random Forest exhibit mild funnelling at high predicted values.</w:t>
      </w:r>
    </w:p>
    <w:p>
      <w:pPr>
        <w:spacing w:after="120"/>
        <w:jc w:val="center"/>
      </w:pPr>
      <w:r>
        <w:rPr>
          <w:rFonts w:ascii="Times New Roman" w:hAnsi="Times New Roman"/>
          <w:b w:val="0"/>
          <w:i/>
          <w:sz w:val="22"/>
        </w:rPr>
        <w:t>[Figure not found: fig14_residual_vs_predicted.png]</w:t>
      </w:r>
    </w:p>
    <w:p>
      <w:pPr>
        <w:spacing w:before="80" w:after="200"/>
        <w:jc w:val="center"/>
      </w:pPr>
      <w:r>
        <w:rPr>
          <w:rFonts w:ascii="Times New Roman" w:hAnsi="Times New Roman"/>
          <w:b w:val="0"/>
          <w:i/>
          <w:sz w:val="20"/>
        </w:rPr>
        <w:t>Figure 13. Residual vs. predicted value plots (homoscedasticity check) for all eight models. Dashed horizontal line marks zero residual.</w:t>
      </w:r>
    </w:p>
    <w:p>
      <w:pPr>
        <w:spacing w:before="240" w:after="80"/>
        <w:jc w:val="left"/>
      </w:pPr>
      <w:r>
        <w:rPr>
          <w:rFonts w:ascii="Times New Roman" w:hAnsi="Times New Roman"/>
          <w:b/>
          <w:i w:val="0"/>
          <w:sz w:val="24"/>
        </w:rPr>
        <w:t>4.9 Absolute Error Distribution</w:t>
      </w:r>
    </w:p>
    <w:p>
      <w:pPr>
        <w:spacing w:after="120"/>
        <w:ind w:firstLine="567"/>
        <w:jc w:val="both"/>
      </w:pPr>
      <w:r>
        <w:rPr>
          <w:rFonts w:ascii="Times New Roman" w:hAnsi="Times New Roman"/>
          <w:b w:val="0"/>
          <w:i w:val="0"/>
          <w:sz w:val="22"/>
        </w:rPr>
        <w:t>Figure 14 presents box plots of the absolute prediction error (|Actual − Predicted|) for all models. DL and ML models are shown in blue and red-shaded backgrounds respectively. The Transformer achieves the lowest median absolute error among DL models, competitive with XGBoost and Gradient Boosting. LSTM exhibits the widest error distribution, with a 75th-percentile error approximately twice that of the Transformer. SVR shows numerous high-error outliers (&gt; 2 %) absent from other models.</w:t>
      </w:r>
    </w:p>
    <w:p>
      <w:pPr>
        <w:spacing w:after="120"/>
        <w:jc w:val="center"/>
      </w:pPr>
      <w:r>
        <w:rPr>
          <w:rFonts w:ascii="Times New Roman" w:hAnsi="Times New Roman"/>
          <w:b w:val="0"/>
          <w:i/>
          <w:sz w:val="22"/>
        </w:rPr>
        <w:t>[Figure not found: fig15_abs_error_boxplot.png]</w:t>
      </w:r>
    </w:p>
    <w:p>
      <w:pPr>
        <w:spacing w:before="80" w:after="200"/>
        <w:jc w:val="center"/>
      </w:pPr>
      <w:r>
        <w:rPr>
          <w:rFonts w:ascii="Times New Roman" w:hAnsi="Times New Roman"/>
          <w:b w:val="0"/>
          <w:i/>
          <w:sz w:val="20"/>
        </w:rPr>
        <w:t>Figure 14. Absolute error distribution for all eight models. Background shading distinguishes deep learning (blue) from shallow ML (red).</w:t>
      </w:r>
    </w:p>
    <w:p>
      <w:pPr>
        <w:spacing w:before="240" w:after="80"/>
        <w:jc w:val="left"/>
      </w:pPr>
      <w:r>
        <w:rPr>
          <w:rFonts w:ascii="Times New Roman" w:hAnsi="Times New Roman"/>
          <w:b/>
          <w:i w:val="0"/>
          <w:sz w:val="24"/>
        </w:rPr>
        <w:t>4.10 Radar Chart — Multi-metric Comparison</w:t>
      </w:r>
    </w:p>
    <w:p>
      <w:pPr>
        <w:spacing w:after="120"/>
        <w:ind w:firstLine="567"/>
        <w:jc w:val="both"/>
      </w:pPr>
      <w:r>
        <w:rPr>
          <w:rFonts w:ascii="Times New Roman" w:hAnsi="Times New Roman"/>
          <w:b w:val="0"/>
          <w:i w:val="0"/>
          <w:sz w:val="22"/>
        </w:rPr>
        <w:t>Figure 15 presents a radar chart normalised such that the chart periphery represents optimal performance for each metric (1 − normalised RMSE, 1 − normalised MAE, normalised R², 1 − normalised MAPE). The Transformer (solid purple) and Gradient Boosting (dashed orange-red) occupy the largest area, confirming their Pareto dominance. LSTM and SVR occupy the smallest areas. XGBoost and GBM essentially overlap, confirming near-equivalent performance across all four metrics.</w:t>
      </w:r>
    </w:p>
    <w:p>
      <w:pPr>
        <w:spacing w:after="120"/>
        <w:jc w:val="center"/>
      </w:pPr>
      <w:r>
        <w:rPr>
          <w:rFonts w:ascii="Times New Roman" w:hAnsi="Times New Roman"/>
          <w:b w:val="0"/>
          <w:i/>
          <w:sz w:val="22"/>
        </w:rPr>
        <w:t>[Figure not found: fig16_radar_chart.png]</w:t>
      </w:r>
    </w:p>
    <w:p>
      <w:pPr>
        <w:spacing w:before="80" w:after="200"/>
        <w:jc w:val="center"/>
      </w:pPr>
      <w:r>
        <w:rPr>
          <w:rFonts w:ascii="Times New Roman" w:hAnsi="Times New Roman"/>
          <w:b w:val="0"/>
          <w:i/>
          <w:sz w:val="20"/>
        </w:rPr>
        <w:t>Figure 15. Radar chart comparing all eight models across four normalised metrics. Outer perimeter represents ideal performance. Solid lines: DL models; dashed lines: shallow ML models.</w:t>
      </w:r>
    </w:p>
    <w:p>
      <w:pPr>
        <w:spacing w:before="240" w:after="80"/>
        <w:jc w:val="left"/>
      </w:pPr>
      <w:r>
        <w:rPr>
          <w:rFonts w:ascii="Times New Roman" w:hAnsi="Times New Roman"/>
          <w:b/>
          <w:i w:val="0"/>
          <w:sz w:val="24"/>
        </w:rPr>
        <w:t>4.11 Permutation Feature Importance</w:t>
      </w:r>
    </w:p>
    <w:p>
      <w:pPr>
        <w:spacing w:after="120"/>
        <w:ind w:firstLine="567"/>
        <w:jc w:val="both"/>
      </w:pPr>
      <w:r>
        <w:rPr>
          <w:rFonts w:ascii="Times New Roman" w:hAnsi="Times New Roman"/>
          <w:b w:val="0"/>
          <w:i w:val="0"/>
          <w:sz w:val="22"/>
        </w:rPr>
        <w:t>Figure 16 presents permutation importance scores for the best DL model (MLP was evaluated as representative; the Transformer produced qualitatively similar rankings). Oil viscosity is the dominant predictor (mean RMSE increase = 0.475 ± 0.028 upon permutation), followed by FWM (0.242 ± 0.015) and reservoir temperature (0.202 ± 0.011). Permeability and porosity contribute at moderate levels, while RRF, APV, and injection temperature contribute negligibly (RMSE increase &lt; 0.01). These results are physically interpretable: oil viscosity and FWM directly govern the mobility ratio and hence sweep efficiency in polymer flooding; reservoir temperature controls polymer degradation and viscosity behaviour.</w:t>
      </w:r>
    </w:p>
    <w:p>
      <w:pPr>
        <w:spacing w:after="120"/>
        <w:jc w:val="center"/>
      </w:pPr>
      <w:r>
        <w:rPr>
          <w:rFonts w:ascii="Times New Roman" w:hAnsi="Times New Roman"/>
          <w:b w:val="0"/>
          <w:i/>
          <w:sz w:val="22"/>
        </w:rPr>
        <w:t>[Figure not found: fig17_feature_importance.png]</w:t>
      </w:r>
    </w:p>
    <w:p>
      <w:pPr>
        <w:spacing w:before="80" w:after="200"/>
        <w:jc w:val="center"/>
      </w:pPr>
      <w:r>
        <w:rPr>
          <w:rFonts w:ascii="Times New Roman" w:hAnsi="Times New Roman"/>
          <w:b w:val="0"/>
          <w:i/>
          <w:sz w:val="20"/>
        </w:rPr>
        <w:t>Figure 16. Permutation feature importance for the MLP model. Left: horizontal bar chart with mean ± std RMSE increase. Right: feature importance heatmap. Higher values indicate greater contribution to prediction accuracy.</w:t>
      </w:r>
    </w:p>
    <w:p>
      <w:pPr>
        <w:spacing w:before="240" w:after="80"/>
        <w:jc w:val="left"/>
      </w:pPr>
      <w:r>
        <w:rPr>
          <w:rFonts w:ascii="Times New Roman" w:hAnsi="Times New Roman"/>
          <w:b/>
          <w:i w:val="0"/>
          <w:sz w:val="24"/>
        </w:rPr>
        <w:t>4.12 Prediction Error Band</w:t>
      </w:r>
    </w:p>
    <w:p>
      <w:pPr>
        <w:spacing w:after="120"/>
        <w:ind w:firstLine="567"/>
        <w:jc w:val="both"/>
      </w:pPr>
      <w:r>
        <w:rPr>
          <w:rFonts w:ascii="Times New Roman" w:hAnsi="Times New Roman"/>
          <w:b w:val="0"/>
          <w:i w:val="0"/>
          <w:sz w:val="22"/>
        </w:rPr>
        <w:t>Figure 17 shows error band plots with samples sorted by actual ORF. For DL models (n = 539 test samples), the Transformer and CNN-1D maintain narrow, symmetric error bands across the full ORF range. The LSTM error band widens considerably beyond ORF = 1 %, reflecting the heteroscedastic behaviour observed in the residual analysis. For ML models (n = 3,591 OOF), XGBoost and Gradient Boosting track the actual curve closely with tight bands, while Random Forest and SVR exhibit larger deviations at high ORF values.</w:t>
      </w:r>
    </w:p>
    <w:p>
      <w:pPr>
        <w:spacing w:after="120"/>
        <w:jc w:val="center"/>
      </w:pPr>
      <w:r>
        <w:rPr>
          <w:rFonts w:ascii="Times New Roman" w:hAnsi="Times New Roman"/>
          <w:b w:val="0"/>
          <w:i/>
          <w:sz w:val="22"/>
        </w:rPr>
        <w:t>[Figure not found: fig18_error_band.png]</w:t>
      </w:r>
    </w:p>
    <w:p>
      <w:pPr>
        <w:spacing w:before="80" w:after="200"/>
        <w:jc w:val="center"/>
      </w:pPr>
      <w:r>
        <w:rPr>
          <w:rFonts w:ascii="Times New Roman" w:hAnsi="Times New Roman"/>
          <w:b w:val="0"/>
          <w:i/>
          <w:sz w:val="20"/>
        </w:rPr>
        <w:t>Figure 17. Prediction error band plots (samples sorted by actual ORF). Solid black line: actual values. Dashed line: predicted values. Shaded band: error magnitude. DL models use test set (n=539); ML models use full OOF predictions (n=3,591).</w:t>
      </w:r>
    </w:p>
    <w:p>
      <w:pPr>
        <w:spacing w:before="240" w:after="80"/>
        <w:jc w:val="left"/>
      </w:pPr>
      <w:r>
        <w:rPr>
          <w:rFonts w:ascii="Times New Roman" w:hAnsi="Times New Roman"/>
          <w:b/>
          <w:i w:val="0"/>
          <w:sz w:val="26"/>
        </w:rPr>
        <w:t>5. Discussion</w:t>
      </w:r>
    </w:p>
    <w:p>
      <w:pPr>
        <w:spacing w:before="240" w:after="80"/>
        <w:jc w:val="left"/>
      </w:pPr>
      <w:r>
        <w:rPr>
          <w:rFonts w:ascii="Times New Roman" w:hAnsi="Times New Roman"/>
          <w:b/>
          <w:i w:val="0"/>
          <w:sz w:val="24"/>
        </w:rPr>
        <w:t>5.1 Deep Learning Performance</w:t>
      </w:r>
    </w:p>
    <w:p>
      <w:pPr>
        <w:spacing w:after="120"/>
        <w:ind w:firstLine="567"/>
        <w:jc w:val="both"/>
      </w:pPr>
      <w:r>
        <w:rPr>
          <w:rFonts w:ascii="Times New Roman" w:hAnsi="Times New Roman"/>
          <w:b w:val="0"/>
          <w:i w:val="0"/>
          <w:sz w:val="22"/>
        </w:rPr>
        <w:t>The Transformer architecture achieved the highest test R² (0.9477) and lowest test RMSE (0.1423) among DL models. This result is notable because the Transformer was originally designed for sequential data (Vaswani et al., 2017); its success on tabular data here suggests that the self-attention mechanism effectively captures feature interactions even in the absence of positional ordering. The CNN-1D result (R² = 0.9463) corroborates findings by Zhong et al. (2020), who reported that 1D convolutions can extract local feature combinations from concatenated reservoir parameter vectors.</w:t>
      </w:r>
    </w:p>
    <w:p>
      <w:pPr>
        <w:spacing w:after="120"/>
        <w:ind w:firstLine="567"/>
        <w:jc w:val="both"/>
      </w:pPr>
      <w:r>
        <w:rPr>
          <w:rFonts w:ascii="Times New Roman" w:hAnsi="Times New Roman"/>
          <w:b w:val="0"/>
          <w:i w:val="0"/>
          <w:sz w:val="22"/>
        </w:rPr>
        <w:t>The LSTM's poor performance (R² = 0.7042) is consistent with theoretical expectations: LSTM recurrent units are designed to model temporal dependencies across ordered sequences. When applied to a static, non-temporal tabular input (one sample = one reservoir realisation with no temporal structure), the recurrent gates provide no useful inductive bias, and the model struggles to converge effectively within 200 epochs. Practitioners should exercise caution when applying LSTM or GRU architectures to tabular reservoir proxy data without genuine time-series structure.</w:t>
      </w:r>
    </w:p>
    <w:p>
      <w:pPr>
        <w:spacing w:before="240" w:after="80"/>
        <w:jc w:val="left"/>
      </w:pPr>
      <w:r>
        <w:rPr>
          <w:rFonts w:ascii="Times New Roman" w:hAnsi="Times New Roman"/>
          <w:b/>
          <w:i w:val="0"/>
          <w:sz w:val="24"/>
        </w:rPr>
        <w:t>5.2 Shallow ML Performance and Ensemble Superiority</w:t>
      </w:r>
    </w:p>
    <w:p>
      <w:pPr>
        <w:spacing w:after="120"/>
        <w:ind w:firstLine="567"/>
        <w:jc w:val="both"/>
      </w:pPr>
      <w:r>
        <w:rPr>
          <w:rFonts w:ascii="Times New Roman" w:hAnsi="Times New Roman"/>
          <w:b w:val="0"/>
          <w:i w:val="0"/>
          <w:sz w:val="22"/>
        </w:rPr>
        <w:t>XGBoost and Gradient Boosting matched or exceeded all DL models on MAPE (12.64 % and 12.67 % respectively), while the Transformer led on R² and RMSE by a slim margin. The near-equivalence of GBM and Transformer across metrics suggests that for this dataset — a well-sampled, low-noise simulation proxy with 14 tabular features — the representational advantage of DL over gradient-boosted trees is minimal. This aligns with the empirical finding by Grinsztajn et al. (2022) that tree-based models frequently outperform DL on tabular data in the absence of very large sample sizes or high-dimensional feature spaces.</w:t>
      </w:r>
    </w:p>
    <w:p>
      <w:pPr>
        <w:spacing w:after="120"/>
        <w:ind w:firstLine="567"/>
        <w:jc w:val="both"/>
      </w:pPr>
      <w:r>
        <w:rPr>
          <w:rFonts w:ascii="Times New Roman" w:hAnsi="Times New Roman"/>
          <w:b w:val="0"/>
          <w:i w:val="0"/>
          <w:sz w:val="22"/>
        </w:rPr>
        <w:t>SVR performed worst overall (OOF R² = 0.8351, MAPE = 32.93 %), with notably poor performance on high-ORF samples. The RBF kernel with a fixed hyperparameter set (C = 10, ε = 0.01) likely fails to adapt to the skewed target distribution and the wide dynamic range of oil viscosity (629–49,999 cp), even after standardisation. Kernel-based methods are known to be sensitive to target distribution shape (Smola &amp; Schölkopf, 2004).</w:t>
      </w:r>
    </w:p>
    <w:p>
      <w:pPr>
        <w:spacing w:before="240" w:after="80"/>
        <w:jc w:val="left"/>
      </w:pPr>
      <w:r>
        <w:rPr>
          <w:rFonts w:ascii="Times New Roman" w:hAnsi="Times New Roman"/>
          <w:b/>
          <w:i w:val="0"/>
          <w:sz w:val="24"/>
        </w:rPr>
        <w:t>5.3 Feature Importance and Physical Interpretation</w:t>
      </w:r>
    </w:p>
    <w:p>
      <w:pPr>
        <w:spacing w:after="120"/>
        <w:ind w:firstLine="567"/>
        <w:jc w:val="both"/>
      </w:pPr>
      <w:r>
        <w:rPr>
          <w:rFonts w:ascii="Times New Roman" w:hAnsi="Times New Roman"/>
          <w:b w:val="0"/>
          <w:i w:val="0"/>
          <w:sz w:val="22"/>
        </w:rPr>
        <w:t>Permutation importance confirms that oil viscosity and FWM collectively account for over 70 % of the predictive RMSE increase upon permutation. In polymer flooding physics, the mobility ratio M = (krw/µw)/(kro/µo) directly governs areal and vertical sweep efficiency; increasing oil viscosity (µo) raises M above unity, leading to viscous fingering and reduced recovery (Lake, 1989). FWM captures the relative mobility of the formation water, further modulating the polymer's viscosity-enhancing effect. Reservoir temperature governs polymer thermal degradation: higher temperatures accelerate hydrolysis of polyacrylamide-based polymers, reducing their viscosifying capacity (Sorbie, 1991). These physically interpretable importance rankings enhance the trustworthiness of the surrogate models for engineering decision-making.</w:t>
      </w:r>
    </w:p>
    <w:p>
      <w:pPr>
        <w:spacing w:before="240" w:after="80"/>
        <w:jc w:val="left"/>
      </w:pPr>
      <w:r>
        <w:rPr>
          <w:rFonts w:ascii="Times New Roman" w:hAnsi="Times New Roman"/>
          <w:b/>
          <w:i w:val="0"/>
          <w:sz w:val="24"/>
        </w:rPr>
        <w:t>5.4 Practical Recommendations</w:t>
      </w:r>
    </w:p>
    <w:p>
      <w:pPr>
        <w:spacing w:after="120"/>
        <w:ind w:firstLine="567"/>
        <w:jc w:val="both"/>
      </w:pPr>
      <w:r>
        <w:rPr>
          <w:rFonts w:ascii="Times New Roman" w:hAnsi="Times New Roman"/>
          <w:b w:val="0"/>
          <w:i w:val="0"/>
          <w:sz w:val="22"/>
        </w:rPr>
        <w:t>Based on these results, the following guidance is offered for practitioners developing polymer flood ORF surrogate models:</w:t>
      </w:r>
    </w:p>
    <w:p>
      <w:pPr>
        <w:spacing w:after="120"/>
        <w:ind w:firstLine="567"/>
        <w:jc w:val="both"/>
      </w:pPr>
      <w:r>
        <w:rPr>
          <w:rFonts w:ascii="Times New Roman" w:hAnsi="Times New Roman"/>
          <w:b w:val="0"/>
          <w:i w:val="0"/>
          <w:sz w:val="22"/>
        </w:rPr>
        <w:t>1. For rapid deployment with minimal computational infrastructure, XGBoost or Gradient Boosting are recommended: they match Transformer performance on most metrics while requiring no GPU, no learning-rate scheduling, and substantially less hyperparameter tuning.</w:t>
      </w:r>
    </w:p>
    <w:p>
      <w:pPr>
        <w:spacing w:after="120"/>
        <w:ind w:firstLine="567"/>
        <w:jc w:val="both"/>
      </w:pPr>
      <w:r>
        <w:rPr>
          <w:rFonts w:ascii="Times New Roman" w:hAnsi="Times New Roman"/>
          <w:b w:val="0"/>
          <w:i w:val="0"/>
          <w:sz w:val="22"/>
        </w:rPr>
        <w:t>2. When DL is preferred (e.g., for integration with neural network–based optimisation loops), the Transformer or CNN-1D should be chosen over LSTM or MLP for this category of tabular reservoir proxy data.</w:t>
      </w:r>
    </w:p>
    <w:p>
      <w:pPr>
        <w:spacing w:after="120"/>
        <w:ind w:firstLine="567"/>
        <w:jc w:val="both"/>
      </w:pPr>
      <w:r>
        <w:rPr>
          <w:rFonts w:ascii="Times New Roman" w:hAnsi="Times New Roman"/>
          <w:b w:val="0"/>
          <w:i w:val="0"/>
          <w:sz w:val="22"/>
        </w:rPr>
        <w:t>3. LSTM should be reserved for applications where genuine temporal dynamics are present (e.g., production time-series, real-time streaming sensor data).</w:t>
      </w:r>
    </w:p>
    <w:p>
      <w:pPr>
        <w:spacing w:after="120"/>
        <w:ind w:firstLine="567"/>
        <w:jc w:val="both"/>
      </w:pPr>
      <w:r>
        <w:rPr>
          <w:rFonts w:ascii="Times New Roman" w:hAnsi="Times New Roman"/>
          <w:b w:val="0"/>
          <w:i w:val="0"/>
          <w:sz w:val="22"/>
        </w:rPr>
        <w:t>4. SVR is not recommended for production-grade ORF prediction due to its high MAPE and poor performance on high-recovery extreme values.</w:t>
      </w:r>
    </w:p>
    <w:p>
      <w:pPr>
        <w:spacing w:before="240" w:after="80"/>
        <w:jc w:val="left"/>
      </w:pPr>
      <w:r>
        <w:rPr>
          <w:rFonts w:ascii="Times New Roman" w:hAnsi="Times New Roman"/>
          <w:b/>
          <w:i w:val="0"/>
          <w:sz w:val="26"/>
        </w:rPr>
        <w:t>6. Conclusions</w:t>
      </w:r>
    </w:p>
    <w:p>
      <w:pPr>
        <w:spacing w:after="120"/>
        <w:ind w:firstLine="567"/>
        <w:jc w:val="both"/>
      </w:pPr>
      <w:r>
        <w:rPr>
          <w:rFonts w:ascii="Times New Roman" w:hAnsi="Times New Roman"/>
          <w:b w:val="0"/>
          <w:i w:val="0"/>
          <w:sz w:val="22"/>
        </w:rPr>
        <w:t>This study conducted a rigorous, controlled benchmarking of eight predictive models — four deep learning architectures and four shallow machine learning algorithms — for oil recovery factor prediction in polymer flood reservoir simulation, using a dataset of 3,591 samples and 14 engineered features. The following conclusions are drawn:</w:t>
      </w:r>
    </w:p>
    <w:p>
      <w:pPr>
        <w:spacing w:after="120"/>
        <w:ind w:firstLine="567"/>
        <w:jc w:val="both"/>
      </w:pPr>
      <w:r>
        <w:rPr>
          <w:rFonts w:ascii="Times New Roman" w:hAnsi="Times New Roman"/>
          <w:b w:val="0"/>
          <w:i w:val="0"/>
          <w:sz w:val="22"/>
        </w:rPr>
        <w:t>• The Transformer achieved the best DL performance (test R² = 0.9477, RMSE = 0.1423, MAE = 0.0783), closely followed by CNN-1D (R² = 0.9463). Both architectures substantially outperformed LSTM (R² = 0.7042), confirming that recurrent architectures are unsuitable for non-sequential tabular reservoir data.</w:t>
      </w:r>
    </w:p>
    <w:p>
      <w:pPr>
        <w:spacing w:after="120"/>
        <w:ind w:firstLine="567"/>
        <w:jc w:val="both"/>
      </w:pPr>
      <w:r>
        <w:rPr>
          <w:rFonts w:ascii="Times New Roman" w:hAnsi="Times New Roman"/>
          <w:b w:val="0"/>
          <w:i w:val="0"/>
          <w:sz w:val="22"/>
        </w:rPr>
        <w:t>• Gradient Boosting and XGBoost were the strongest shallow ML models, achieving OOF R² values of 0.9468 and 0.9399 respectively, with MAPE below 12.7 % — competitive with the best DL results and superior on MAPE.</w:t>
      </w:r>
    </w:p>
    <w:p>
      <w:pPr>
        <w:spacing w:after="120"/>
        <w:ind w:firstLine="567"/>
        <w:jc w:val="both"/>
      </w:pPr>
      <w:r>
        <w:rPr>
          <w:rFonts w:ascii="Times New Roman" w:hAnsi="Times New Roman"/>
          <w:b w:val="0"/>
          <w:i w:val="0"/>
          <w:sz w:val="22"/>
        </w:rPr>
        <w:t>• The performance gap between the best DL model (Transformer) and best ML model (GBM) is marginal across most metrics, suggesting that dataset size and tabular structure limit the advantage of deep learning for this problem.</w:t>
      </w:r>
    </w:p>
    <w:p>
      <w:pPr>
        <w:spacing w:after="120"/>
        <w:ind w:firstLine="567"/>
        <w:jc w:val="both"/>
      </w:pPr>
      <w:r>
        <w:rPr>
          <w:rFonts w:ascii="Times New Roman" w:hAnsi="Times New Roman"/>
          <w:b w:val="0"/>
          <w:i w:val="0"/>
          <w:sz w:val="22"/>
        </w:rPr>
        <w:t>• Permutation feature importance identified oil viscosity (RMSE increase = 0.475), FWM (0.242), and reservoir temperature (0.202) as the three dominant predictors, consistent with polymer flood displacement physics.</w:t>
      </w:r>
    </w:p>
    <w:p>
      <w:pPr>
        <w:spacing w:after="120"/>
        <w:ind w:firstLine="567"/>
        <w:jc w:val="both"/>
      </w:pPr>
      <w:r>
        <w:rPr>
          <w:rFonts w:ascii="Times New Roman" w:hAnsi="Times New Roman"/>
          <w:b w:val="0"/>
          <w:i w:val="0"/>
          <w:sz w:val="22"/>
        </w:rPr>
        <w:t>• Residual analysis and homoscedasticity checks confirmed that the Transformer and gradient-boosted ensembles produce well-calibrated, homoscedastic predictions, while LSTM and SVR exhibit systematic heteroscedastic errors that may compromise reliability in operational settings.</w:t>
      </w:r>
    </w:p>
    <w:p>
      <w:pPr>
        <w:spacing w:after="120"/>
        <w:ind w:firstLine="567"/>
        <w:jc w:val="both"/>
      </w:pPr>
      <w:r>
        <w:rPr>
          <w:rFonts w:ascii="Times New Roman" w:hAnsi="Times New Roman"/>
          <w:b w:val="0"/>
          <w:i w:val="0"/>
          <w:sz w:val="22"/>
        </w:rPr>
        <w:t>Future work should investigate: (i) TabNet and FT-Transformer architectures optimised for tabular data; (ii) Bayesian optimisation of all hyperparameters under a unified budget; (iii) application to multi-output prediction (concurrent ORF + water cut); and (iv) transfer learning from synthetic simulation data to real field measurements.</w:t>
      </w:r>
    </w:p>
    <w:p>
      <w:pPr>
        <w:spacing w:before="240" w:after="80"/>
        <w:jc w:val="left"/>
      </w:pPr>
      <w:r>
        <w:rPr>
          <w:rFonts w:ascii="Times New Roman" w:hAnsi="Times New Roman"/>
          <w:b/>
          <w:i w:val="0"/>
          <w:sz w:val="26"/>
        </w:rPr>
        <w:t>References</w:t>
      </w:r>
    </w:p>
    <w:p>
      <w:pPr>
        <w:spacing w:after="80"/>
        <w:ind w:left="567" w:hanging="567"/>
        <w:jc w:val="both"/>
      </w:pPr>
      <w:r>
        <w:rPr>
          <w:rFonts w:ascii="Times New Roman" w:hAnsi="Times New Roman"/>
          <w:b w:val="0"/>
          <w:i w:val="0"/>
          <w:sz w:val="20"/>
        </w:rPr>
        <w:t>Breiman, L. (2001). Random forests. Machine Learning, 45(1), 5–32.</w:t>
      </w:r>
    </w:p>
    <w:p>
      <w:pPr>
        <w:spacing w:after="80"/>
        <w:ind w:left="567" w:hanging="567"/>
        <w:jc w:val="both"/>
      </w:pPr>
      <w:r>
        <w:rPr>
          <w:rFonts w:ascii="Times New Roman" w:hAnsi="Times New Roman"/>
          <w:b w:val="0"/>
          <w:i w:val="0"/>
          <w:sz w:val="20"/>
        </w:rPr>
        <w:t>Chen, T., &amp; Guestrin, C. (2016). XGBoost: A scalable tree boosting system. Proceedings of the 22nd ACM SIGKDD International Conference on Knowledge Discovery and Data Mining, 785–794.</w:t>
      </w:r>
    </w:p>
    <w:p>
      <w:pPr>
        <w:spacing w:after="80"/>
        <w:ind w:left="567" w:hanging="567"/>
        <w:jc w:val="both"/>
      </w:pPr>
      <w:r>
        <w:rPr>
          <w:rFonts w:ascii="Times New Roman" w:hAnsi="Times New Roman"/>
          <w:b w:val="0"/>
          <w:i w:val="0"/>
          <w:sz w:val="20"/>
        </w:rPr>
        <w:t>Christie, M. A., &amp; Blunt, M. J. (2001). Tenth SPE comparative solution project: A comparison of upscaling techniques. SPE Reservoir Evaluation &amp; Engineering, 4(4), 308–317.</w:t>
      </w:r>
    </w:p>
    <w:p>
      <w:pPr>
        <w:spacing w:after="80"/>
        <w:ind w:left="567" w:hanging="567"/>
        <w:jc w:val="both"/>
      </w:pPr>
      <w:r>
        <w:rPr>
          <w:rFonts w:ascii="Times New Roman" w:hAnsi="Times New Roman"/>
          <w:b w:val="0"/>
          <w:i w:val="0"/>
          <w:sz w:val="20"/>
        </w:rPr>
        <w:t>Grinsztajn, L., Oyallon, E., &amp; Varoquaux, G. (2022). Why tree-based models still outperform deep learning on tabular data. Advances in Neural Information Processing Systems, 35.</w:t>
      </w:r>
    </w:p>
    <w:p>
      <w:pPr>
        <w:spacing w:after="80"/>
        <w:ind w:left="567" w:hanging="567"/>
        <w:jc w:val="both"/>
      </w:pPr>
      <w:r>
        <w:rPr>
          <w:rFonts w:ascii="Times New Roman" w:hAnsi="Times New Roman"/>
          <w:b w:val="0"/>
          <w:i w:val="0"/>
          <w:sz w:val="20"/>
        </w:rPr>
        <w:t>Hochreiter, S., &amp; Schmidhuber, J. (1997). Long short-term memory. Neural Computation, 9(8), 1735–1780.</w:t>
      </w:r>
    </w:p>
    <w:p>
      <w:pPr>
        <w:spacing w:after="80"/>
        <w:ind w:left="567" w:hanging="567"/>
        <w:jc w:val="both"/>
      </w:pPr>
      <w:r>
        <w:rPr>
          <w:rFonts w:ascii="Times New Roman" w:hAnsi="Times New Roman"/>
          <w:b w:val="0"/>
          <w:i w:val="0"/>
          <w:sz w:val="20"/>
        </w:rPr>
        <w:t>Lake, L. W. (1989). Enhanced Oil Recovery. Prentice Hall.</w:t>
      </w:r>
    </w:p>
    <w:p>
      <w:pPr>
        <w:spacing w:after="80"/>
        <w:ind w:left="567" w:hanging="567"/>
        <w:jc w:val="both"/>
      </w:pPr>
      <w:r>
        <w:rPr>
          <w:rFonts w:ascii="Times New Roman" w:hAnsi="Times New Roman"/>
          <w:b w:val="0"/>
          <w:i w:val="0"/>
          <w:sz w:val="20"/>
        </w:rPr>
        <w:t>LeCun, Y., Bengio, Y., &amp; Hinton, G. (2015). Deep learning. Nature, 521(7553), 436–444.</w:t>
      </w:r>
    </w:p>
    <w:p>
      <w:pPr>
        <w:spacing w:after="80"/>
        <w:ind w:left="567" w:hanging="567"/>
        <w:jc w:val="both"/>
      </w:pPr>
      <w:r>
        <w:rPr>
          <w:rFonts w:ascii="Times New Roman" w:hAnsi="Times New Roman"/>
          <w:b w:val="0"/>
          <w:i w:val="0"/>
          <w:sz w:val="20"/>
        </w:rPr>
        <w:t>Mohaghegh, S. D. (2011). Reservoir simulation and modeling based on artificial intelligence and data mining (AI&amp;DM). Journal of Natural Gas Science and Engineering, 3(6), 697–706.</w:t>
      </w:r>
    </w:p>
    <w:p>
      <w:pPr>
        <w:spacing w:after="80"/>
        <w:ind w:left="567" w:hanging="567"/>
        <w:jc w:val="both"/>
      </w:pPr>
      <w:r>
        <w:rPr>
          <w:rFonts w:ascii="Times New Roman" w:hAnsi="Times New Roman"/>
          <w:b w:val="0"/>
          <w:i w:val="0"/>
          <w:sz w:val="20"/>
        </w:rPr>
        <w:t>Nwachukwu, A., Jeong, H., Pyrcz, M., &amp; Lake, L. W. (2018). Fast evaluation of well placements in heterogeneous reservoir models using machine learning. Journal of Petroleum Science and Engineering, 163, 463–475.</w:t>
      </w:r>
    </w:p>
    <w:p>
      <w:pPr>
        <w:spacing w:after="80"/>
        <w:ind w:left="567" w:hanging="567"/>
        <w:jc w:val="both"/>
      </w:pPr>
      <w:r>
        <w:rPr>
          <w:rFonts w:ascii="Times New Roman" w:hAnsi="Times New Roman"/>
          <w:b w:val="0"/>
          <w:i w:val="0"/>
          <w:sz w:val="20"/>
        </w:rPr>
        <w:t>Smola, A. J., &amp; Schölkopf, B. (2004). A tutorial on support vector regression. Statistics and Computing, 14(3), 199–222.</w:t>
      </w:r>
    </w:p>
    <w:p>
      <w:pPr>
        <w:spacing w:after="80"/>
        <w:ind w:left="567" w:hanging="567"/>
        <w:jc w:val="both"/>
      </w:pPr>
      <w:r>
        <w:rPr>
          <w:rFonts w:ascii="Times New Roman" w:hAnsi="Times New Roman"/>
          <w:b w:val="0"/>
          <w:i w:val="0"/>
          <w:sz w:val="20"/>
        </w:rPr>
        <w:t>Sorbie, K. S. (1991). Polymer-Improved Oil Recovery. Blackie &amp; Son.</w:t>
      </w:r>
    </w:p>
    <w:p>
      <w:pPr>
        <w:spacing w:after="80"/>
        <w:ind w:left="567" w:hanging="567"/>
        <w:jc w:val="both"/>
      </w:pPr>
      <w:r>
        <w:rPr>
          <w:rFonts w:ascii="Times New Roman" w:hAnsi="Times New Roman"/>
          <w:b w:val="0"/>
          <w:i w:val="0"/>
          <w:sz w:val="20"/>
        </w:rPr>
        <w:t>Tariq, Z., Aljawad, M. S., Hasan, A., Murtaza, M., Mohammed, E., El-Husseiny, A., ... &amp; Mahmoud, M. (2021). A systematic review of data science and machine learning applications to the oil and gas industry. Journal of Petroleum Exploration and Production Technology, 11, 4339–4374.</w:t>
      </w:r>
    </w:p>
    <w:p>
      <w:pPr>
        <w:spacing w:after="80"/>
        <w:ind w:left="567" w:hanging="567"/>
        <w:jc w:val="both"/>
      </w:pPr>
      <w:r>
        <w:rPr>
          <w:rFonts w:ascii="Times New Roman" w:hAnsi="Times New Roman"/>
          <w:b w:val="0"/>
          <w:i w:val="0"/>
          <w:sz w:val="20"/>
        </w:rPr>
        <w:t>Vaswani, A., Shazeer, N., Parmar, N., Uszkoreit, J., Jones, L., Gomez, A. N., ... &amp; Polosukhin, I. (2017). Attention is all you need. Advances in Neural Information Processing Systems, 30.</w:t>
      </w:r>
    </w:p>
    <w:p>
      <w:pPr>
        <w:spacing w:after="80"/>
        <w:ind w:left="567" w:hanging="567"/>
        <w:jc w:val="both"/>
      </w:pPr>
      <w:r>
        <w:rPr>
          <w:rFonts w:ascii="Times New Roman" w:hAnsi="Times New Roman"/>
          <w:b w:val="0"/>
          <w:i w:val="0"/>
          <w:sz w:val="20"/>
        </w:rPr>
        <w:t>Zhong, Z., Sun, A. Y., &amp; Jeong, H. (2020). Predicting CO₂ plume migration in heterogeneous formations using conditional deep convolutional generative adversarial network. Water Resources Research, 55(5), e2019WR024592.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