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1F3A5F"/>
          <w:sz w:val="40"/>
        </w:rPr>
        <w:t>Submission Cover Page</w:t>
      </w:r>
    </w:p>
    <w:p>
      <w:pPr>
        <w:spacing w:after="120"/>
      </w:pPr>
      <w:r>
        <w:rPr>
          <w:rFonts w:ascii="Calibri" w:hAnsi="Calibri"/>
          <w:b/>
          <w:sz w:val="24"/>
        </w:rPr>
        <w:t xml:space="preserve">Exercise number: </w:t>
      </w:r>
      <w:r>
        <w:rPr>
          <w:rFonts w:ascii="Calibri" w:hAnsi="Calibri"/>
          <w:b w:val="0"/>
          <w:sz w:val="24"/>
        </w:rPr>
        <w:t>1</w:t>
      </w:r>
    </w:p>
    <w:p>
      <w:pPr>
        <w:spacing w:after="120"/>
      </w:pPr>
      <w:r>
        <w:rPr>
          <w:rFonts w:ascii="Calibri" w:hAnsi="Calibri"/>
          <w:b/>
          <w:sz w:val="24"/>
        </w:rPr>
        <w:t xml:space="preserve">Group code: </w:t>
      </w:r>
      <w:r>
        <w:rPr>
          <w:rFonts w:ascii="Calibri" w:hAnsi="Calibri"/>
          <w:b w:val="0"/>
          <w:sz w:val="24"/>
        </w:rPr>
        <w:t>SMNGRP05</w:t>
      </w:r>
    </w:p>
    <w:p>
      <w:pPr>
        <w:spacing w:after="120"/>
      </w:pPr>
      <w:r>
        <w:rPr>
          <w:rFonts w:ascii="Calibri" w:hAnsi="Calibri"/>
          <w:b/>
          <w:sz w:val="24"/>
        </w:rPr>
        <w:t xml:space="preserve">Self-evaluation score (0-100): </w:t>
      </w:r>
      <w:r>
        <w:rPr>
          <w:rFonts w:ascii="Calibri" w:hAnsi="Calibri"/>
          <w:b w:val="0"/>
          <w:sz w:val="24"/>
        </w:rPr>
        <w:t>90</w:t>
      </w:r>
    </w:p>
    <w:p>
      <w:pPr>
        <w:spacing w:after="40"/>
      </w:pPr>
      <w:r>
        <w:rPr>
          <w:rFonts w:ascii="Calibri" w:hAnsi="Calibri"/>
          <w:b/>
          <w:sz w:val="24"/>
        </w:rPr>
        <w:t>Students:</w:t>
      </w:r>
    </w:p>
    <w:p>
      <w:pPr>
        <w:spacing w:after="40"/>
      </w:pPr>
      <w:r>
        <w:rPr>
          <w:rFonts w:ascii="Calibri" w:hAnsi="Calibri"/>
          <w:b w:val="0"/>
          <w:sz w:val="24"/>
        </w:rPr>
        <w:t xml:space="preserve">  • ID 208123232  |  Afaf Gharra  |  עפאף גרה</w:t>
      </w:r>
    </w:p>
    <w:p>
      <w:pPr>
        <w:spacing w:after="40"/>
      </w:pPr>
      <w:r>
        <w:rPr>
          <w:rFonts w:ascii="Calibri" w:hAnsi="Calibri"/>
          <w:b w:val="0"/>
          <w:sz w:val="24"/>
        </w:rPr>
        <w:t xml:space="preserve">  • ID 212018899  |  Reem Awawdy  |  רים עואודה</w:t>
      </w:r>
    </w:p>
    <w:p/>
    <w:p>
      <w:pPr>
        <w:spacing w:after="120"/>
      </w:pPr>
      <w:r>
        <w:rPr>
          <w:rFonts w:ascii="Calibri" w:hAnsi="Calibri"/>
          <w:b/>
          <w:sz w:val="24"/>
        </w:rPr>
        <w:t xml:space="preserve">GitHub repository: </w:t>
      </w:r>
      <w:r>
        <w:rPr>
          <w:rFonts w:ascii="Calibri" w:hAnsi="Calibri"/>
          <w:b w:val="0"/>
          <w:sz w:val="24"/>
        </w:rPr>
        <w:t>https://github.com/afaf-gharra/SignalMemoryNet</w:t>
      </w:r>
    </w:p>
    <w:p>
      <w:pPr>
        <w:spacing w:after="120"/>
      </w:pPr>
      <w:r>
        <w:rPr>
          <w:rFonts w:ascii="Calibri" w:hAnsi="Calibri"/>
          <w:b/>
          <w:sz w:val="24"/>
        </w:rPr>
        <w:t xml:space="preserve">Late submission: </w:t>
      </w:r>
      <w:r>
        <w:rPr>
          <w:rFonts w:ascii="Calibri" w:hAnsi="Calibri"/>
          <w:b w:val="0"/>
          <w:sz w:val="24"/>
        </w:rPr>
        <w:t>no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1F3A5F"/>
          <w:sz w:val="36"/>
        </w:rPr>
        <w:t>SignalMemoryNet — HW1 Lab Report</w:t>
      </w:r>
    </w:p>
    <w:p>
      <w:pPr>
        <w:spacing w:after="120"/>
      </w:pPr>
      <w:r>
        <w:rPr>
          <w:rFonts w:ascii="Calibri" w:hAnsi="Calibri"/>
          <w:b/>
          <w:color w:val="1F3A5F"/>
          <w:sz w:val="28"/>
        </w:rPr>
        <w:t>1. Problem Setup</w:t>
      </w:r>
    </w:p>
    <w:p>
      <w:pPr>
        <w:spacing w:after="80"/>
      </w:pPr>
      <w:r>
        <w:rPr>
          <w:rFonts w:ascii="Calibri" w:hAnsi="Calibri"/>
          <w:b w:val="0"/>
          <w:sz w:val="22"/>
        </w:rPr>
        <w:t>We generate sine signals at four discrete frequencies (2, 5, 10, 20 Hz), sampled at 100 Hz for 10 seconds, with random amplitude in [0.8, 1.2], random phase, and additive Gaussian noise at three levels (σ = 5 %, 10 %, 20 % of amplitude). The task is two-fold per 10-sample window: (i) classify the underlying frequency (4 classes), (ii) reconstruct the clean window (denoising). A shared backbone feeds a multi-task head producing 4 logits (cross-entropy) + 10 regression outputs (MSE).</w:t>
      </w:r>
    </w:p>
    <w:p>
      <w:pPr>
        <w:spacing w:after="120"/>
      </w:pPr>
      <w:r>
        <w:rPr>
          <w:rFonts w:ascii="Calibri" w:hAnsi="Calibri"/>
          <w:b/>
          <w:color w:val="1F3A5F"/>
          <w:sz w:val="28"/>
        </w:rPr>
        <w:t>2. Architectures</w:t>
      </w:r>
    </w:p>
    <w:p>
      <w:pPr>
        <w:spacing w:after="80"/>
      </w:pPr>
      <w:r>
        <w:rPr>
          <w:rFonts w:ascii="Calibri" w:hAnsi="Calibri"/>
          <w:b w:val="0"/>
          <w:sz w:val="22"/>
        </w:rPr>
        <w:t>MLP — fully-connected baseline that ignores temporal order: FC(10→64)–ReLU–FC(64→64)–ReLU–Head(14).</w:t>
      </w:r>
    </w:p>
    <w:p>
      <w:pPr>
        <w:spacing w:after="80"/>
      </w:pPr>
      <w:r>
        <w:rPr>
          <w:rFonts w:ascii="Calibri" w:hAnsi="Calibri"/>
          <w:b w:val="0"/>
          <w:sz w:val="22"/>
        </w:rPr>
        <w:t>RNN — single-layer tanh nn.RNN with hidden size 32; the final hidden state h_T is fed to the same head.</w:t>
      </w:r>
    </w:p>
    <w:p>
      <w:pPr>
        <w:spacing w:after="80"/>
      </w:pPr>
      <w:r>
        <w:rPr>
          <w:rFonts w:ascii="Calibri" w:hAnsi="Calibri"/>
          <w:b w:val="0"/>
          <w:sz w:val="22"/>
        </w:rPr>
        <w:t>LSTM — single-layer nn.LSTM with hidden size 32; gating (input, forget, output) mitigates the vanishing-gradient issue and improves denoising at high noise.</w:t>
      </w:r>
    </w:p>
    <w:p>
      <w:pPr>
        <w:spacing w:after="120"/>
      </w:pPr>
      <w:r>
        <w:rPr>
          <w:rFonts w:ascii="Calibri" w:hAnsi="Calibri"/>
          <w:b/>
          <w:color w:val="1F3A5F"/>
          <w:sz w:val="28"/>
        </w:rPr>
        <w:t>3. Training Setup</w:t>
      </w:r>
    </w:p>
    <w:p>
      <w:pPr>
        <w:spacing w:after="80"/>
      </w:pPr>
      <w:r>
        <w:rPr>
          <w:rFonts w:ascii="Calibri" w:hAnsi="Calibri"/>
          <w:b w:val="0"/>
          <w:sz w:val="22"/>
        </w:rPr>
        <w:t>Optimizer Adam (lr=1e-3), batch size 128, up to 20 epochs, early stopping (patience 5) on the validation loss. Records per frequency: train 30 / val 8 / test 8, sliding windows of length 10 with stride 5. Seed = 42 for full reproducibility.</w:t>
      </w:r>
    </w:p>
    <w:p>
      <w:pPr>
        <w:spacing w:after="120"/>
      </w:pPr>
      <w:r>
        <w:rPr>
          <w:rFonts w:ascii="Calibri" w:hAnsi="Calibri"/>
          <w:b/>
          <w:color w:val="1F3A5F"/>
          <w:sz w:val="28"/>
        </w:rPr>
        <w:t>4.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Model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Test Acc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Recon MSE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MSE (σ=5%)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MSE (σ=10%)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MSE (σ=20%)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MLP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0.987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0.0060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0.0014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0.0032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0.0118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RNN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0.979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0.0127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0.0057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0.0094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0.0208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LSTM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0.986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0.0101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0.0052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0.0069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0.0165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555555"/>
          <w:sz w:val="20"/>
        </w:rPr>
        <w:t>Figure 1 — Training/validation loss curves for MLP, RNN, LSTM.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l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555555"/>
          <w:sz w:val="20"/>
        </w:rPr>
        <w:t>Figure 2 — Confusion matrix (MLP).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r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555555"/>
          <w:sz w:val="20"/>
        </w:rPr>
        <w:t>Figure 3 — Confusion matrix (RNN).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lst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555555"/>
          <w:sz w:val="20"/>
        </w:rPr>
        <w:t>Figure 4 — Confusion matrix (LSTM).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5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_m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555555"/>
          <w:sz w:val="20"/>
        </w:rPr>
        <w:t>Figure 5 — Reconstruction examples (MLP).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5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_rn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555555"/>
          <w:sz w:val="20"/>
        </w:rPr>
        <w:t>Figure 6 — Reconstruction examples (RNN).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5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_lst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555555"/>
          <w:sz w:val="20"/>
        </w:rPr>
        <w:t>Figure 7 — Reconstruction examples (LSTM).</w:t>
      </w:r>
    </w:p>
    <w:p>
      <w:pPr>
        <w:spacing w:after="120"/>
      </w:pPr>
      <w:r>
        <w:rPr>
          <w:rFonts w:ascii="Calibri" w:hAnsi="Calibri"/>
          <w:b/>
          <w:color w:val="1F3A5F"/>
          <w:sz w:val="28"/>
        </w:rPr>
        <w:t>5. Discussion</w:t>
      </w:r>
    </w:p>
    <w:p>
      <w:pPr>
        <w:spacing w:after="80"/>
      </w:pPr>
      <w:r>
        <w:rPr>
          <w:rFonts w:ascii="Calibri" w:hAnsi="Calibri"/>
          <w:b w:val="0"/>
          <w:sz w:val="22"/>
        </w:rPr>
        <w:t>All three models achieve &gt; 97 % classification accuracy thanks to the strong frequency cue inside any 10-sample window at 100 Hz. Denoising is harder: the recurrent models re-use information across time steps and recover better at the highest noise level, while the MLP, despite a higher parameter count per window, still benefits from the explicit reconstruction signal in the multi-task loss.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