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SOP SOP-MQ-001 [Kafka Consumer Lag Runbook] Version 1.5.</w:t>
      </w:r>
    </w:p>
    <w:p>
      <w:r>
        <w:t>Applies to: Apache Kafka 2.8+ and Confluent Platform 7+ consumer groups whose lag exceeds the configured SLO.</w:t>
      </w:r>
    </w:p>
    <w:p>
      <w:r>
        <w:t>Covers backlog growth, consumer crashes, rebalances, partition imbalance, and DLQ growth.</w:t>
      </w:r>
    </w:p>
    <w:p>
      <w:r>
        <w:t>Severity Trigger: P1.</w:t>
      </w:r>
    </w:p>
    <w:p>
      <w:r>
        <w:t>Steps: 1) Confirm lag: `kafka-consumer-groups.sh --bootstrap-server &lt;kafka&gt; --describe --group &lt;group&gt;` and identify if a single partition or all partitions are behind.</w:t>
      </w:r>
    </w:p>
    <w:p>
      <w:r>
        <w:t>2) Capture group membership and partition assignment: `--members --verbose` flag on the same command.</w:t>
      </w:r>
    </w:p>
    <w:p>
      <w:r>
        <w:t>3) Check consumer pod health: `kubectl get pods -n &lt;ns&gt; -l app=&lt;consumer&gt;` and `kubectl top pod`.</w:t>
      </w:r>
    </w:p>
    <w:p>
      <w:r>
        <w:t>4) If pods are missing or unhealthy, restart and confirm they rejoin the group: watch for `Successfully joined group` in pod logs.</w:t>
      </w:r>
    </w:p>
    <w:p>
      <w:r>
        <w:t>5) If lag is uniform across partitions, the consumer is throughput-bound — scale horizontally to match partition count (one pod per partition).</w:t>
      </w:r>
    </w:p>
    <w:p>
      <w:r>
        <w:t>6) If lag is on a single partition, the issue is per-partition: a slow consumer for a key, a hot partition, or a DLQ-bound message holding the offset.</w:t>
      </w:r>
    </w:p>
    <w:p>
      <w:r>
        <w:t>7) Inspect downstream backpressure: DB pool exhaustion, downstream HTTP timeouts.</w:t>
      </w:r>
    </w:p>
    <w:p>
      <w:r>
        <w:t>Cross-reference with SOP-DB-001 and SOP-APP-001.</w:t>
      </w:r>
    </w:p>
    <w:p>
      <w:r>
        <w:t>8) For poison messages (deserialization or processing exceptions), confirm the DLQ topic is configured and growing — see INC-024 for schema-evolution issues.</w:t>
      </w:r>
    </w:p>
    <w:p>
      <w:r>
        <w:t>9) Add KEDA ScaledObject driven by Kafka lag if not present: `triggers: type=kafka, lagThreshold=10000` so future spikes auto-scale.</w:t>
      </w:r>
    </w:p>
    <w:p>
      <w:r>
        <w:t>10) If broker-side issue (leader election loop, ISR shrink), engage the platform team and follow Kafka cluster runbook.</w:t>
      </w:r>
    </w:p>
    <w:p>
      <w:r>
        <w:t>11) Verify lag drains: `kafka-consumer-groups.sh --describe --group &lt;group&gt;` every minute until lag returns to baseline.</w:t>
      </w:r>
    </w:p>
    <w:p>
      <w:r>
        <w:t>12) Document the root cause and the scaling/backpressure changes in the consumer's README and postmortem.</w:t>
      </w:r>
    </w:p>
    <w:p>
      <w:r>
        <w:t>Escalation: L1 SRE → Service team owning the consumer → Platform Engineering (Kafka brokers) → Confluent / vendor support (if broker-side issue).</w:t>
      </w:r>
    </w:p>
    <w:p>
      <w:r>
        <w:t>Owner: Streaming Platform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