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Deployment Failure SOP</w:t>
      </w:r>
    </w:p>
    <w:p>
      <w:pPr>
        <w:pStyle w:val="Heading1"/>
      </w:pPr>
      <w:r>
        <w:t>Overview</w:t>
      </w:r>
    </w:p>
    <w:p>
      <w:r>
        <w:t>This SOP explains how to investigate production issues that begin after a release or deployment. It focuses on deployment logs, feature flags, environment variables, service health, rollback decision making, and communication.</w:t>
      </w:r>
    </w:p>
    <w:p>
      <w:pPr>
        <w:pStyle w:val="Heading1"/>
      </w:pPr>
      <w:r>
        <w:t>Post-Deployment Symptoms</w:t>
      </w:r>
    </w:p>
    <w:p>
      <w:r>
        <w:t>Users cannot log in, API error rate increases, payment timeout appears, health endpoint fails, or latency becomes degraded immediately after deployment.</w:t>
      </w:r>
    </w:p>
    <w:p>
      <w:pPr>
        <w:pStyle w:val="Heading1"/>
      </w:pPr>
      <w:r>
        <w:t>First Checks</w:t>
      </w:r>
    </w:p>
    <w:p>
      <w:r>
        <w:t>1. Check deployment status and deployment logs.</w:t>
      </w:r>
    </w:p>
    <w:p>
      <w:r>
        <w:t>2. Confirm which service version is running.</w:t>
      </w:r>
    </w:p>
    <w:p>
      <w:r>
        <w:t>3. Check service health endpoint.</w:t>
      </w:r>
    </w:p>
    <w:p>
      <w:r>
        <w:t>4. Check error rate and latency dashboards.</w:t>
      </w:r>
    </w:p>
    <w:p>
      <w:r>
        <w:t>5. Compare environment variables with the previous release.</w:t>
      </w:r>
    </w:p>
    <w:p>
      <w:r>
        <w:t>6. Check feature flags and configuration changes.</w:t>
      </w:r>
    </w:p>
    <w:p>
      <w:pPr>
        <w:pStyle w:val="Heading1"/>
      </w:pPr>
      <w:r>
        <w:t>Rollback Decision</w:t>
      </w:r>
    </w:p>
    <w:p>
      <w:r>
        <w:t>Prepare rollback if production users are affected, the error rate is increasing, or the root cause is not understood quickly. Rollback should be approved by the service owner or incident commander for High and Critical incidents.</w:t>
      </w:r>
    </w:p>
    <w:p>
      <w:pPr>
        <w:pStyle w:val="Heading1"/>
      </w:pPr>
      <w:r>
        <w:t>Escalation</w:t>
      </w:r>
    </w:p>
    <w:p>
      <w:r>
        <w:t>Escalate to the service owner, backend team, and incident commander when many users are affected or production login, payment, or checkout flows are failing.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