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Postmortem — Template</w:t>
      </w:r>
    </w:p>
    <w:p>
      <w:r>
        <w:t>Every P1 and P2 incident requires a postmortem within 5 business days of resolution. Postmortems are blameless: focus on systems, processes, and contributing factors, not on individuals.</w:t>
      </w:r>
    </w:p>
    <w:p>
      <w:pPr>
        <w:pStyle w:val="Heading1"/>
      </w:pPr>
      <w:r>
        <w:t>Incident summary</w:t>
      </w:r>
    </w:p>
    <w:p>
      <w:r>
        <w:t>One paragraph: what happened, who was affected, for how long.</w:t>
      </w:r>
    </w:p>
    <w:p>
      <w:pPr>
        <w:pStyle w:val="Heading1"/>
      </w:pPr>
      <w:r>
        <w:t>Timeline</w:t>
      </w:r>
    </w:p>
    <w:p>
      <w:r>
        <w:t>Bullet list with timestamps in UTC. Include detection, first response, mitigation, and resolution.</w:t>
      </w:r>
    </w:p>
    <w:p>
      <w:pPr>
        <w:pStyle w:val="Heading1"/>
      </w:pPr>
      <w:r>
        <w:t>Impact</w:t>
      </w:r>
    </w:p>
    <w:p>
      <w:r>
        <w:t>Customer-facing impact in measurable terms: requests failed, users affected, revenue at risk.</w:t>
      </w:r>
    </w:p>
    <w:p>
      <w:pPr>
        <w:pStyle w:val="Heading1"/>
      </w:pPr>
      <w:r>
        <w:t>Root cause</w:t>
      </w:r>
    </w:p>
    <w:p>
      <w:r>
        <w:t>The actual technical cause. If there are multiple contributing factors, list each.</w:t>
      </w:r>
    </w:p>
    <w:p>
      <w:pPr>
        <w:pStyle w:val="Heading1"/>
      </w:pPr>
      <w:r>
        <w:t>Detection</w:t>
      </w:r>
    </w:p>
    <w:p>
      <w:r>
        <w:t>How was the incident detected? Was the alert timely? Was the right team paged?</w:t>
      </w:r>
    </w:p>
    <w:p>
      <w:pPr>
        <w:pStyle w:val="Heading1"/>
      </w:pPr>
      <w:r>
        <w:t>Response</w:t>
      </w:r>
    </w:p>
    <w:p>
      <w:r>
        <w:t>What worked well during the response? What slowed us down?</w:t>
      </w:r>
    </w:p>
    <w:p>
      <w:pPr>
        <w:pStyle w:val="Heading1"/>
      </w:pPr>
      <w:r>
        <w:t>Action items</w:t>
      </w:r>
    </w:p>
    <w:p>
      <w:r>
        <w:t>Bullet list of concrete, owned, dated follow-ups. Each item must have an owner and a due date.</w:t>
      </w:r>
    </w:p>
    <w:p>
      <w:pPr>
        <w:pStyle w:val="Heading1"/>
      </w:pPr>
      <w:r>
        <w:t>Lessons learned</w:t>
      </w:r>
    </w:p>
    <w:p>
      <w:r>
        <w:t>What patterns or assumptions does this incident challenge? Update runbooks accordingly.</w:t>
      </w:r>
    </w:p>
    <w:p>
      <w:pPr>
        <w:pStyle w:val="Heading1"/>
      </w:pPr>
      <w:r>
        <w:t>Action item discipline</w:t>
      </w:r>
    </w:p>
    <w:p>
      <w:pPr>
        <w:pStyle w:val="ListBullet"/>
      </w:pPr>
      <w:r>
        <w:t>No action item without an owner.</w:t>
      </w:r>
    </w:p>
    <w:p>
      <w:pPr>
        <w:pStyle w:val="ListBullet"/>
      </w:pPr>
      <w:r>
        <w:t>No action item without a due date.</w:t>
      </w:r>
    </w:p>
    <w:p>
      <w:pPr>
        <w:pStyle w:val="ListBullet"/>
      </w:pPr>
      <w:r>
        <w:t>No vague items like 'improve monitoring'; instead write 'add alert for X above Y for Z minutes'.</w:t>
      </w:r>
    </w:p>
    <w:p>
      <w:pPr>
        <w:pStyle w:val="ListBullet"/>
      </w:pPr>
      <w:r>
        <w:t>Track all items in the incidents Jira board; revisit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