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95DC5" w14:textId="77777777" w:rsidR="00262940" w:rsidRPr="00262940" w:rsidRDefault="00262940" w:rsidP="00262940">
      <w:pPr>
        <w:pStyle w:val="Title"/>
        <w:rPr>
          <w:b/>
          <w:bCs/>
          <w:color w:val="1F3864" w:themeColor="accent1" w:themeShade="80"/>
          <w:sz w:val="32"/>
          <w:szCs w:val="32"/>
        </w:rPr>
      </w:pPr>
      <w:r w:rsidRPr="00262940">
        <w:rPr>
          <w:b/>
          <w:bCs/>
          <w:color w:val="1F3864" w:themeColor="accent1" w:themeShade="80"/>
          <w:sz w:val="32"/>
          <w:szCs w:val="32"/>
        </w:rPr>
        <w:t xml:space="preserve">Bioinformatics of Nanopore sequencing </w:t>
      </w:r>
    </w:p>
    <w:p w14:paraId="6C0E1911" w14:textId="202A9060" w:rsidR="00262940" w:rsidRPr="00262940" w:rsidRDefault="00262940" w:rsidP="00262940">
      <w:pPr>
        <w:pStyle w:val="Title"/>
        <w:rPr>
          <w:b/>
          <w:bCs/>
          <w:color w:val="1F3864" w:themeColor="accent1" w:themeShade="80"/>
          <w:sz w:val="32"/>
          <w:szCs w:val="32"/>
        </w:rPr>
      </w:pPr>
      <w:r>
        <w:rPr>
          <w:color w:val="1F3864" w:themeColor="accent1" w:themeShade="80"/>
          <w:sz w:val="32"/>
          <w:szCs w:val="32"/>
        </w:rPr>
        <w:t xml:space="preserve">  </w:t>
      </w:r>
    </w:p>
    <w:p w14:paraId="1BF166A7" w14:textId="2609DFBD" w:rsidR="00262940" w:rsidRDefault="00262940" w:rsidP="00262940">
      <w:pPr>
        <w:rPr>
          <w:b/>
          <w:bCs/>
          <w:color w:val="1F3864" w:themeColor="accent1" w:themeShade="80"/>
          <w:sz w:val="24"/>
          <w:szCs w:val="24"/>
        </w:rPr>
      </w:pPr>
      <w:r w:rsidRPr="00262940">
        <w:rPr>
          <w:color w:val="1F3864" w:themeColor="accent1" w:themeShade="80"/>
          <w:sz w:val="24"/>
          <w:szCs w:val="24"/>
        </w:rPr>
        <w:t xml:space="preserve"> </w:t>
      </w:r>
      <w:r w:rsidRPr="00262940">
        <w:rPr>
          <w:b/>
          <w:bCs/>
          <w:color w:val="1F3864" w:themeColor="accent1" w:themeShade="80"/>
          <w:sz w:val="24"/>
          <w:szCs w:val="24"/>
        </w:rPr>
        <w:t>Abstract</w:t>
      </w:r>
    </w:p>
    <w:p w14:paraId="63D92B00" w14:textId="58276788" w:rsidR="00262940" w:rsidRPr="00262940" w:rsidRDefault="00262940" w:rsidP="00262940">
      <w:pPr>
        <w:rPr>
          <w:color w:val="8496B0" w:themeColor="text2" w:themeTint="99"/>
          <w:sz w:val="24"/>
          <w:szCs w:val="24"/>
        </w:rPr>
      </w:pPr>
      <w:r w:rsidRPr="00262940">
        <w:rPr>
          <w:color w:val="8496B0" w:themeColor="text2" w:themeTint="99"/>
          <w:sz w:val="24"/>
          <w:szCs w:val="24"/>
        </w:rPr>
        <w:t>One of the most important sequencing technologies is nanopore</w:t>
      </w:r>
      <w:r w:rsidR="002C4485">
        <w:rPr>
          <w:color w:val="8496B0" w:themeColor="text2" w:themeTint="99"/>
          <w:sz w:val="24"/>
          <w:szCs w:val="24"/>
        </w:rPr>
        <w:t xml:space="preserve"> </w:t>
      </w:r>
      <w:r w:rsidRPr="00262940">
        <w:rPr>
          <w:color w:val="8496B0" w:themeColor="text2" w:themeTint="99"/>
          <w:sz w:val="24"/>
          <w:szCs w:val="24"/>
        </w:rPr>
        <w:t>that helps us in dynamic development with the use of analytical tools that help researchers to navigate this changing field.</w:t>
      </w:r>
    </w:p>
    <w:p w14:paraId="3B33072F" w14:textId="3A0B22B0" w:rsidR="00262940" w:rsidRDefault="00262940" w:rsidP="00262940">
      <w:pPr>
        <w:rPr>
          <w:b/>
          <w:bCs/>
          <w:color w:val="1F3864" w:themeColor="accent1" w:themeShade="80"/>
          <w:sz w:val="24"/>
          <w:szCs w:val="24"/>
        </w:rPr>
      </w:pPr>
      <w:r w:rsidRPr="00262940">
        <w:rPr>
          <w:b/>
          <w:bCs/>
          <w:color w:val="1F3864" w:themeColor="accent1" w:themeShade="80"/>
          <w:sz w:val="24"/>
          <w:szCs w:val="24"/>
        </w:rPr>
        <w:t>Introduction</w:t>
      </w:r>
    </w:p>
    <w:p w14:paraId="164B2EDC" w14:textId="6748FC7E" w:rsidR="005946DF" w:rsidRPr="002C4485" w:rsidRDefault="005946DF" w:rsidP="002C4485">
      <w:pPr>
        <w:rPr>
          <w:color w:val="8496B0" w:themeColor="text2" w:themeTint="99"/>
          <w:sz w:val="24"/>
          <w:szCs w:val="24"/>
        </w:rPr>
      </w:pPr>
      <w:r w:rsidRPr="002C4485">
        <w:rPr>
          <w:color w:val="8496B0" w:themeColor="text2" w:themeTint="99"/>
          <w:sz w:val="24"/>
          <w:szCs w:val="24"/>
        </w:rPr>
        <w:t>The 21 century was the beginning of next generation sequencing which increased sequencing yield. Sequencing cost depended on the length of reads that is better than sanger sequencing.</w:t>
      </w:r>
      <w:r w:rsidR="002C4485">
        <w:rPr>
          <w:color w:val="8496B0" w:themeColor="text2" w:themeTint="99"/>
          <w:sz w:val="24"/>
          <w:szCs w:val="24"/>
        </w:rPr>
        <w:t xml:space="preserve"> </w:t>
      </w:r>
      <w:r w:rsidRPr="002C4485">
        <w:rPr>
          <w:color w:val="8496B0" w:themeColor="text2" w:themeTint="99"/>
          <w:sz w:val="24"/>
          <w:szCs w:val="24"/>
        </w:rPr>
        <w:t>The advantage of third generation enables single molecule long reads that met the needs of comm</w:t>
      </w:r>
      <w:r w:rsidR="002C4485" w:rsidRPr="002C4485">
        <w:rPr>
          <w:color w:val="8496B0" w:themeColor="text2" w:themeTint="99"/>
          <w:sz w:val="24"/>
          <w:szCs w:val="24"/>
        </w:rPr>
        <w:t xml:space="preserve">unity so we have two competing </w:t>
      </w:r>
      <w:proofErr w:type="gramStart"/>
      <w:r w:rsidR="002C4485" w:rsidRPr="002C4485">
        <w:rPr>
          <w:color w:val="8496B0" w:themeColor="text2" w:themeTint="99"/>
          <w:sz w:val="24"/>
          <w:szCs w:val="24"/>
        </w:rPr>
        <w:t>products :</w:t>
      </w:r>
      <w:proofErr w:type="gramEnd"/>
    </w:p>
    <w:p w14:paraId="70F15622" w14:textId="051AB5D4" w:rsidR="002C4485" w:rsidRPr="002C4485" w:rsidRDefault="002C4485" w:rsidP="002C4485">
      <w:pPr>
        <w:pStyle w:val="ListParagraph"/>
        <w:numPr>
          <w:ilvl w:val="0"/>
          <w:numId w:val="3"/>
        </w:numPr>
        <w:rPr>
          <w:color w:val="8496B0" w:themeColor="text2" w:themeTint="99"/>
        </w:rPr>
      </w:pPr>
      <w:r w:rsidRPr="002C4485">
        <w:rPr>
          <w:color w:val="8496B0" w:themeColor="text2" w:themeTint="99"/>
          <w:sz w:val="20"/>
          <w:szCs w:val="20"/>
        </w:rPr>
        <w:t>Single molecule Real time sequencing by PacBio</w:t>
      </w:r>
    </w:p>
    <w:p w14:paraId="6CBE2BED" w14:textId="3FF1ED50" w:rsidR="002C4485" w:rsidRPr="002C4485" w:rsidRDefault="002C4485" w:rsidP="002C4485">
      <w:pPr>
        <w:pStyle w:val="ListParagraph"/>
        <w:numPr>
          <w:ilvl w:val="0"/>
          <w:numId w:val="3"/>
        </w:numPr>
        <w:rPr>
          <w:color w:val="8496B0" w:themeColor="text2" w:themeTint="99"/>
        </w:rPr>
      </w:pPr>
      <w:r w:rsidRPr="002C4485">
        <w:rPr>
          <w:color w:val="8496B0" w:themeColor="text2" w:themeTint="99"/>
          <w:sz w:val="20"/>
          <w:szCs w:val="20"/>
        </w:rPr>
        <w:t>Nanopore sequencing by Oxford</w:t>
      </w:r>
    </w:p>
    <w:p w14:paraId="3F29FB37" w14:textId="48974F10" w:rsidR="002C4485" w:rsidRDefault="002C4485" w:rsidP="002C4485">
      <w:pPr>
        <w:pStyle w:val="ListParagraph"/>
        <w:ind w:left="1440"/>
        <w:jc w:val="both"/>
        <w:rPr>
          <w:color w:val="8496B0" w:themeColor="text2" w:themeTint="99"/>
          <w:sz w:val="20"/>
          <w:szCs w:val="20"/>
        </w:rPr>
      </w:pPr>
    </w:p>
    <w:p w14:paraId="22E0AD1B" w14:textId="27BCDB2A" w:rsidR="007118A0" w:rsidRDefault="002C4485" w:rsidP="007118A0">
      <w:pPr>
        <w:rPr>
          <w:color w:val="8496B0" w:themeColor="text2" w:themeTint="99"/>
          <w:lang w:bidi="ar-EG"/>
        </w:rPr>
      </w:pPr>
      <w:r w:rsidRPr="003937CC">
        <w:rPr>
          <w:color w:val="8496B0" w:themeColor="text2" w:themeTint="99"/>
        </w:rPr>
        <w:t>Thanks to those technology it brings portability and very initial cost of Hardware but ONT also didn’t provide any analytical tools and the native base caller was in a format of FAST5 that couldn’t be handled by any software at this time</w:t>
      </w:r>
      <w:r w:rsidR="007118A0" w:rsidRPr="003937CC">
        <w:rPr>
          <w:color w:val="8496B0" w:themeColor="text2" w:themeTint="99"/>
        </w:rPr>
        <w:t xml:space="preserve">. First tool that converted from the FAST5 to familiar FASTQ and FASTA is </w:t>
      </w:r>
      <w:proofErr w:type="spellStart"/>
      <w:r w:rsidR="007118A0" w:rsidRPr="003937CC">
        <w:rPr>
          <w:color w:val="8496B0" w:themeColor="text2" w:themeTint="99"/>
        </w:rPr>
        <w:t>Poretools</w:t>
      </w:r>
      <w:proofErr w:type="spellEnd"/>
      <w:r w:rsidR="007118A0" w:rsidRPr="003937CC">
        <w:rPr>
          <w:color w:val="8496B0" w:themeColor="text2" w:themeTint="99"/>
        </w:rPr>
        <w:t>.</w:t>
      </w:r>
      <w:r w:rsidR="007118A0" w:rsidRPr="003937CC">
        <w:rPr>
          <w:color w:val="8496B0" w:themeColor="text2" w:themeTint="99"/>
          <w:lang w:bidi="ar-EG"/>
        </w:rPr>
        <w:t xml:space="preserve"> Long reads have low sequencing accuracy so it requires computational approaches. We use </w:t>
      </w:r>
      <w:proofErr w:type="gramStart"/>
      <w:r w:rsidR="007118A0" w:rsidRPr="003937CC">
        <w:rPr>
          <w:color w:val="8496B0" w:themeColor="text2" w:themeTint="99"/>
          <w:lang w:bidi="ar-EG"/>
        </w:rPr>
        <w:t>algorithms</w:t>
      </w:r>
      <w:proofErr w:type="gramEnd"/>
      <w:r w:rsidR="007118A0" w:rsidRPr="003937CC">
        <w:rPr>
          <w:color w:val="8496B0" w:themeColor="text2" w:themeTint="99"/>
          <w:lang w:bidi="ar-EG"/>
        </w:rPr>
        <w:t xml:space="preserve"> and analytical to aid nanopore sequencing, and it’s not only for ONT</w:t>
      </w:r>
      <w:r w:rsidR="003937CC" w:rsidRPr="003937CC">
        <w:rPr>
          <w:color w:val="8496B0" w:themeColor="text2" w:themeTint="99"/>
          <w:lang w:bidi="ar-EG"/>
        </w:rPr>
        <w:t xml:space="preserve"> but also they are more generic to be used with any long reads</w:t>
      </w:r>
      <w:r w:rsidR="003937CC">
        <w:rPr>
          <w:color w:val="8496B0" w:themeColor="text2" w:themeTint="99"/>
          <w:lang w:bidi="ar-EG"/>
        </w:rPr>
        <w:t>.</w:t>
      </w:r>
    </w:p>
    <w:p w14:paraId="1330960E" w14:textId="7F5DBEF9" w:rsidR="003937CC" w:rsidRPr="003937CC" w:rsidRDefault="003937CC" w:rsidP="007118A0">
      <w:pPr>
        <w:rPr>
          <w:color w:val="8496B0" w:themeColor="text2" w:themeTint="99"/>
          <w:lang w:bidi="ar-EG"/>
        </w:rPr>
      </w:pPr>
      <w:r>
        <w:rPr>
          <w:color w:val="8496B0" w:themeColor="text2" w:themeTint="99"/>
          <w:lang w:bidi="ar-EG"/>
        </w:rPr>
        <w:t xml:space="preserve">Here we describe a few tools developed in the recent years that are suitable for NT sequencing although </w:t>
      </w:r>
      <w:proofErr w:type="gramStart"/>
      <w:r>
        <w:rPr>
          <w:color w:val="8496B0" w:themeColor="text2" w:themeTint="99"/>
          <w:lang w:bidi="ar-EG"/>
        </w:rPr>
        <w:t>it’s  by</w:t>
      </w:r>
      <w:proofErr w:type="gramEnd"/>
      <w:r>
        <w:rPr>
          <w:color w:val="8496B0" w:themeColor="text2" w:themeTint="99"/>
          <w:lang w:bidi="ar-EG"/>
        </w:rPr>
        <w:t xml:space="preserve"> no means comprehensive. We try to cover the whole range of software that reflect it diversity of the nanopore sequencing.</w:t>
      </w:r>
    </w:p>
    <w:p w14:paraId="12562416" w14:textId="576B314E" w:rsidR="002C4485" w:rsidRDefault="00901AF1" w:rsidP="002C4485">
      <w:pPr>
        <w:rPr>
          <w:b/>
          <w:bCs/>
          <w:color w:val="1F3864" w:themeColor="accent1" w:themeShade="80"/>
        </w:rPr>
      </w:pPr>
      <w:r w:rsidRPr="00901AF1">
        <w:rPr>
          <w:b/>
          <w:bCs/>
          <w:color w:val="1F3864" w:themeColor="accent1" w:themeShade="80"/>
        </w:rPr>
        <w:t>Related Works</w:t>
      </w:r>
    </w:p>
    <w:p w14:paraId="02A4A8CF" w14:textId="3D278C6B" w:rsidR="00901AF1" w:rsidRDefault="00901AF1" w:rsidP="00901AF1">
      <w:pPr>
        <w:pStyle w:val="ListParagraph"/>
        <w:numPr>
          <w:ilvl w:val="0"/>
          <w:numId w:val="4"/>
        </w:numPr>
        <w:rPr>
          <w:color w:val="8EAADB" w:themeColor="accent1" w:themeTint="99"/>
          <w:sz w:val="20"/>
          <w:szCs w:val="20"/>
        </w:rPr>
      </w:pPr>
      <w:r>
        <w:rPr>
          <w:color w:val="8EAADB" w:themeColor="accent1" w:themeTint="99"/>
          <w:sz w:val="20"/>
          <w:szCs w:val="20"/>
        </w:rPr>
        <w:t xml:space="preserve"> </w:t>
      </w:r>
      <w:r w:rsidRPr="00901AF1">
        <w:rPr>
          <w:color w:val="8EAADB" w:themeColor="accent1" w:themeTint="99"/>
          <w:sz w:val="20"/>
          <w:szCs w:val="20"/>
        </w:rPr>
        <w:t>We show that an electric field can drive single-stranded RNA and DNA molecules through a 2.6-nm diameter ion channel in a lipid bilayer membrane. Because the channel diameter can accommodate only a single strand of RNA or DNA, each polymer traverses the membrane as an extended chain that partially blocks the channel. The passage of each molecule is detected as a transient decrease of ionic current whose duration is proportional to polymer length. Channel blockades can therefore be used to measure polynucleotide length. With further improvements, the method could in principle provide direct, high-speed detection of the sequence of bases in single molecules of DNA or RNA</w:t>
      </w:r>
      <w:proofErr w:type="gramStart"/>
      <w:r w:rsidRPr="00901AF1">
        <w:rPr>
          <w:color w:val="8EAADB" w:themeColor="accent1" w:themeTint="99"/>
          <w:sz w:val="20"/>
          <w:szCs w:val="20"/>
        </w:rPr>
        <w:t>.(</w:t>
      </w:r>
      <w:proofErr w:type="gramEnd"/>
      <w:r w:rsidRPr="00901AF1">
        <w:t xml:space="preserve"> </w:t>
      </w:r>
      <w:proofErr w:type="spellStart"/>
      <w:r w:rsidRPr="00901AF1">
        <w:rPr>
          <w:color w:val="8EAADB" w:themeColor="accent1" w:themeTint="99"/>
          <w:sz w:val="20"/>
          <w:szCs w:val="20"/>
        </w:rPr>
        <w:t>Kasianowicz</w:t>
      </w:r>
      <w:proofErr w:type="spellEnd"/>
      <w:r w:rsidRPr="00901AF1">
        <w:rPr>
          <w:color w:val="8EAADB" w:themeColor="accent1" w:themeTint="99"/>
          <w:sz w:val="20"/>
          <w:szCs w:val="20"/>
        </w:rPr>
        <w:t xml:space="preserve"> JJ, </w:t>
      </w:r>
      <w:proofErr w:type="spellStart"/>
      <w:r w:rsidRPr="00901AF1">
        <w:rPr>
          <w:color w:val="8EAADB" w:themeColor="accent1" w:themeTint="99"/>
          <w:sz w:val="20"/>
          <w:szCs w:val="20"/>
        </w:rPr>
        <w:t>Brandin</w:t>
      </w:r>
      <w:proofErr w:type="spellEnd"/>
      <w:r w:rsidRPr="00901AF1">
        <w:rPr>
          <w:color w:val="8EAADB" w:themeColor="accent1" w:themeTint="99"/>
          <w:sz w:val="20"/>
          <w:szCs w:val="20"/>
        </w:rPr>
        <w:t xml:space="preserve"> E, </w:t>
      </w:r>
      <w:proofErr w:type="spellStart"/>
      <w:r w:rsidRPr="00901AF1">
        <w:rPr>
          <w:color w:val="8EAADB" w:themeColor="accent1" w:themeTint="99"/>
          <w:sz w:val="20"/>
          <w:szCs w:val="20"/>
        </w:rPr>
        <w:t>Branton</w:t>
      </w:r>
      <w:proofErr w:type="spellEnd"/>
      <w:r w:rsidRPr="00901AF1">
        <w:rPr>
          <w:color w:val="8EAADB" w:themeColor="accent1" w:themeTint="99"/>
          <w:sz w:val="20"/>
          <w:szCs w:val="20"/>
        </w:rPr>
        <w:t xml:space="preserve"> D, </w:t>
      </w:r>
      <w:proofErr w:type="spellStart"/>
      <w:r w:rsidRPr="00901AF1">
        <w:rPr>
          <w:color w:val="8EAADB" w:themeColor="accent1" w:themeTint="99"/>
          <w:sz w:val="20"/>
          <w:szCs w:val="20"/>
        </w:rPr>
        <w:t>Deamer</w:t>
      </w:r>
      <w:proofErr w:type="spellEnd"/>
      <w:r w:rsidRPr="00901AF1">
        <w:rPr>
          <w:color w:val="8EAADB" w:themeColor="accent1" w:themeTint="99"/>
          <w:sz w:val="20"/>
          <w:szCs w:val="20"/>
        </w:rPr>
        <w:t xml:space="preserve"> DW. Character</w:t>
      </w:r>
      <w:r w:rsidRPr="00901AF1">
        <w:rPr>
          <w:color w:val="8EAADB" w:themeColor="accent1" w:themeTint="99"/>
          <w:sz w:val="20"/>
          <w:szCs w:val="20"/>
        </w:rPr>
        <w:t/>
      </w:r>
      <w:proofErr w:type="spellStart"/>
      <w:r w:rsidRPr="00901AF1">
        <w:rPr>
          <w:color w:val="8EAADB" w:themeColor="accent1" w:themeTint="99"/>
          <w:sz w:val="20"/>
          <w:szCs w:val="20"/>
        </w:rPr>
        <w:t>ization</w:t>
      </w:r>
      <w:proofErr w:type="spellEnd"/>
      <w:r w:rsidRPr="00901AF1">
        <w:rPr>
          <w:color w:val="8EAADB" w:themeColor="accent1" w:themeTint="99"/>
          <w:sz w:val="20"/>
          <w:szCs w:val="20"/>
        </w:rPr>
        <w:t xml:space="preserve"> of individual polynucleotide molecules using a membrane channel. </w:t>
      </w:r>
      <w:proofErr w:type="spellStart"/>
      <w:r w:rsidRPr="00901AF1">
        <w:rPr>
          <w:color w:val="8EAADB" w:themeColor="accent1" w:themeTint="99"/>
          <w:sz w:val="20"/>
          <w:szCs w:val="20"/>
        </w:rPr>
        <w:t>Proc</w:t>
      </w:r>
      <w:proofErr w:type="spellEnd"/>
      <w:r w:rsidRPr="00901AF1">
        <w:rPr>
          <w:color w:val="8EAADB" w:themeColor="accent1" w:themeTint="99"/>
          <w:sz w:val="20"/>
          <w:szCs w:val="20"/>
        </w:rPr>
        <w:t xml:space="preserve"> </w:t>
      </w:r>
      <w:proofErr w:type="spellStart"/>
      <w:r w:rsidRPr="00901AF1">
        <w:rPr>
          <w:color w:val="8EAADB" w:themeColor="accent1" w:themeTint="99"/>
          <w:sz w:val="20"/>
          <w:szCs w:val="20"/>
        </w:rPr>
        <w:t>Natl</w:t>
      </w:r>
      <w:proofErr w:type="spellEnd"/>
      <w:r w:rsidRPr="00901AF1">
        <w:rPr>
          <w:color w:val="8EAADB" w:themeColor="accent1" w:themeTint="99"/>
          <w:sz w:val="20"/>
          <w:szCs w:val="20"/>
        </w:rPr>
        <w:t xml:space="preserve"> </w:t>
      </w:r>
      <w:proofErr w:type="spellStart"/>
      <w:r w:rsidRPr="00901AF1">
        <w:rPr>
          <w:color w:val="8EAADB" w:themeColor="accent1" w:themeTint="99"/>
          <w:sz w:val="20"/>
          <w:szCs w:val="20"/>
        </w:rPr>
        <w:t>Acad</w:t>
      </w:r>
      <w:proofErr w:type="spellEnd"/>
      <w:r w:rsidRPr="00901AF1">
        <w:rPr>
          <w:color w:val="8EAADB" w:themeColor="accent1" w:themeTint="99"/>
          <w:sz w:val="20"/>
          <w:szCs w:val="20"/>
        </w:rPr>
        <w:t xml:space="preserve"> Sci.)</w:t>
      </w:r>
    </w:p>
    <w:p w14:paraId="3142B0C6" w14:textId="4D51C47B" w:rsidR="00901AF1" w:rsidRPr="00901AF1" w:rsidRDefault="00901AF1" w:rsidP="00901AF1">
      <w:pPr>
        <w:pStyle w:val="ListParagraph"/>
        <w:numPr>
          <w:ilvl w:val="0"/>
          <w:numId w:val="4"/>
        </w:numPr>
        <w:rPr>
          <w:color w:val="8EAADB" w:themeColor="accent1" w:themeTint="99"/>
          <w:sz w:val="20"/>
          <w:szCs w:val="20"/>
        </w:rPr>
      </w:pPr>
      <w:proofErr w:type="spellStart"/>
      <w:r w:rsidRPr="00901AF1">
        <w:rPr>
          <w:color w:val="8EAADB" w:themeColor="accent1" w:themeTint="99"/>
          <w:sz w:val="20"/>
          <w:szCs w:val="20"/>
        </w:rPr>
        <w:t>Nanopore</w:t>
      </w:r>
      <w:proofErr w:type="spellEnd"/>
      <w:r w:rsidRPr="00901AF1">
        <w:rPr>
          <w:color w:val="8EAADB" w:themeColor="accent1" w:themeTint="99"/>
          <w:sz w:val="20"/>
          <w:szCs w:val="20"/>
        </w:rPr>
        <w:t xml:space="preserve"> sequencing may be the next disruptive technology in genomics, owing to its ability to detect single DNA molecules without prior amplification, lack of reliance on expensive optical components, and the ability to sequence long fragments. The </w:t>
      </w:r>
      <w:proofErr w:type="spellStart"/>
      <w:r w:rsidRPr="00901AF1">
        <w:rPr>
          <w:color w:val="8EAADB" w:themeColor="accent1" w:themeTint="99"/>
          <w:sz w:val="20"/>
          <w:szCs w:val="20"/>
        </w:rPr>
        <w:t>MinION</w:t>
      </w:r>
      <w:proofErr w:type="spellEnd"/>
      <w:r w:rsidRPr="00901AF1">
        <w:rPr>
          <w:color w:val="8EAADB" w:themeColor="accent1" w:themeTint="99"/>
          <w:sz w:val="20"/>
          <w:szCs w:val="20"/>
        </w:rPr>
        <w:t xml:space="preserve">™ from Oxford </w:t>
      </w:r>
      <w:proofErr w:type="spellStart"/>
      <w:r w:rsidRPr="00901AF1">
        <w:rPr>
          <w:color w:val="8EAADB" w:themeColor="accent1" w:themeTint="99"/>
          <w:sz w:val="20"/>
          <w:szCs w:val="20"/>
        </w:rPr>
        <w:t>Nanopore</w:t>
      </w:r>
      <w:proofErr w:type="spellEnd"/>
      <w:r w:rsidRPr="00901AF1">
        <w:rPr>
          <w:color w:val="8EAADB" w:themeColor="accent1" w:themeTint="99"/>
          <w:sz w:val="20"/>
          <w:szCs w:val="20"/>
        </w:rPr>
        <w:t xml:space="preserve"> Technologies (ONT) is the first </w:t>
      </w:r>
      <w:proofErr w:type="spellStart"/>
      <w:r w:rsidRPr="00901AF1">
        <w:rPr>
          <w:color w:val="8EAADB" w:themeColor="accent1" w:themeTint="99"/>
          <w:sz w:val="20"/>
          <w:szCs w:val="20"/>
        </w:rPr>
        <w:t>nanopore</w:t>
      </w:r>
      <w:proofErr w:type="spellEnd"/>
      <w:r w:rsidRPr="00901AF1">
        <w:rPr>
          <w:color w:val="8EAADB" w:themeColor="accent1" w:themeTint="99"/>
          <w:sz w:val="20"/>
          <w:szCs w:val="20"/>
        </w:rPr>
        <w:t xml:space="preserve"> sequencer to be commercialized and is now available to early-access users. The </w:t>
      </w:r>
      <w:proofErr w:type="spellStart"/>
      <w:r w:rsidRPr="00901AF1">
        <w:rPr>
          <w:color w:val="8EAADB" w:themeColor="accent1" w:themeTint="99"/>
          <w:sz w:val="20"/>
          <w:szCs w:val="20"/>
        </w:rPr>
        <w:t>MinION</w:t>
      </w:r>
      <w:proofErr w:type="spellEnd"/>
      <w:r w:rsidRPr="00901AF1">
        <w:rPr>
          <w:color w:val="8EAADB" w:themeColor="accent1" w:themeTint="99"/>
          <w:sz w:val="20"/>
          <w:szCs w:val="20"/>
        </w:rPr>
        <w:t xml:space="preserve">™ is a USB-connected, portable </w:t>
      </w:r>
      <w:proofErr w:type="spellStart"/>
      <w:r w:rsidRPr="00901AF1">
        <w:rPr>
          <w:color w:val="8EAADB" w:themeColor="accent1" w:themeTint="99"/>
          <w:sz w:val="20"/>
          <w:szCs w:val="20"/>
        </w:rPr>
        <w:t>nanopore</w:t>
      </w:r>
      <w:proofErr w:type="spellEnd"/>
      <w:r w:rsidRPr="00901AF1">
        <w:rPr>
          <w:color w:val="8EAADB" w:themeColor="accent1" w:themeTint="99"/>
          <w:sz w:val="20"/>
          <w:szCs w:val="20"/>
        </w:rPr>
        <w:t xml:space="preserve"> sequencer that permits real-time analysis of streaming event data. Currently, the research community lacks a standardized toolkit for the analysis of </w:t>
      </w:r>
      <w:proofErr w:type="spellStart"/>
      <w:r w:rsidRPr="00901AF1">
        <w:rPr>
          <w:color w:val="8EAADB" w:themeColor="accent1" w:themeTint="99"/>
          <w:sz w:val="20"/>
          <w:szCs w:val="20"/>
        </w:rPr>
        <w:t>nanopore</w:t>
      </w:r>
      <w:proofErr w:type="spellEnd"/>
      <w:r w:rsidRPr="00901AF1">
        <w:rPr>
          <w:color w:val="8EAADB" w:themeColor="accent1" w:themeTint="99"/>
          <w:sz w:val="20"/>
          <w:szCs w:val="20"/>
        </w:rPr>
        <w:t xml:space="preserve"> datasets</w:t>
      </w:r>
      <w:proofErr w:type="gramStart"/>
      <w:r w:rsidRPr="00901AF1">
        <w:rPr>
          <w:color w:val="8EAADB" w:themeColor="accent1" w:themeTint="99"/>
          <w:sz w:val="20"/>
          <w:szCs w:val="20"/>
        </w:rPr>
        <w:t>.</w:t>
      </w:r>
      <w:r>
        <w:rPr>
          <w:color w:val="8EAADB" w:themeColor="accent1" w:themeTint="99"/>
          <w:sz w:val="20"/>
          <w:szCs w:val="20"/>
        </w:rPr>
        <w:t>(</w:t>
      </w:r>
      <w:proofErr w:type="gramEnd"/>
      <w:r w:rsidRPr="00901AF1">
        <w:t xml:space="preserve"> </w:t>
      </w:r>
      <w:proofErr w:type="spellStart"/>
      <w:r w:rsidRPr="00901AF1">
        <w:rPr>
          <w:color w:val="8EAADB" w:themeColor="accent1" w:themeTint="99"/>
          <w:sz w:val="20"/>
          <w:szCs w:val="20"/>
        </w:rPr>
        <w:t>Loman</w:t>
      </w:r>
      <w:proofErr w:type="spellEnd"/>
      <w:r w:rsidRPr="00901AF1">
        <w:rPr>
          <w:color w:val="8EAADB" w:themeColor="accent1" w:themeTint="99"/>
          <w:sz w:val="20"/>
          <w:szCs w:val="20"/>
        </w:rPr>
        <w:t xml:space="preserve"> NJ, Quinlan AR. </w:t>
      </w:r>
      <w:proofErr w:type="spellStart"/>
      <w:r w:rsidRPr="00901AF1">
        <w:rPr>
          <w:color w:val="8EAADB" w:themeColor="accent1" w:themeTint="99"/>
          <w:sz w:val="20"/>
          <w:szCs w:val="20"/>
        </w:rPr>
        <w:t>Poretools</w:t>
      </w:r>
      <w:proofErr w:type="spellEnd"/>
      <w:r w:rsidRPr="00901AF1">
        <w:rPr>
          <w:color w:val="8EAADB" w:themeColor="accent1" w:themeTint="99"/>
          <w:sz w:val="20"/>
          <w:szCs w:val="20"/>
        </w:rPr>
        <w:t xml:space="preserve">: a toolkit for analyzing </w:t>
      </w:r>
      <w:proofErr w:type="spellStart"/>
      <w:r w:rsidRPr="00901AF1">
        <w:rPr>
          <w:color w:val="8EAADB" w:themeColor="accent1" w:themeTint="99"/>
          <w:sz w:val="20"/>
          <w:szCs w:val="20"/>
        </w:rPr>
        <w:t>nano</w:t>
      </w:r>
      <w:proofErr w:type="spellEnd"/>
      <w:r w:rsidRPr="00901AF1">
        <w:rPr>
          <w:color w:val="8EAADB" w:themeColor="accent1" w:themeTint="99"/>
          <w:sz w:val="20"/>
          <w:szCs w:val="20"/>
        </w:rPr>
        <w:t>pore sequence data. Bioinformatics.</w:t>
      </w:r>
      <w:r>
        <w:rPr>
          <w:color w:val="8EAADB" w:themeColor="accent1" w:themeTint="99"/>
          <w:sz w:val="20"/>
          <w:szCs w:val="20"/>
        </w:rPr>
        <w:t>)</w:t>
      </w:r>
      <w:bookmarkStart w:id="0" w:name="_GoBack"/>
      <w:bookmarkEnd w:id="0"/>
    </w:p>
    <w:p w14:paraId="1C367D32" w14:textId="2E829ABF" w:rsidR="002C4485" w:rsidRDefault="002C4485" w:rsidP="002C4485">
      <w:pPr>
        <w:pStyle w:val="ListParagraph"/>
        <w:ind w:left="1440"/>
        <w:jc w:val="both"/>
        <w:rPr>
          <w:color w:val="8496B0" w:themeColor="text2" w:themeTint="99"/>
        </w:rPr>
      </w:pPr>
    </w:p>
    <w:p w14:paraId="6377605C" w14:textId="1FFCCA84" w:rsidR="002C4485" w:rsidRPr="002C4485" w:rsidRDefault="002C4485" w:rsidP="002C4485">
      <w:pPr>
        <w:pStyle w:val="ListParagraph"/>
        <w:ind w:left="1440"/>
        <w:jc w:val="both"/>
        <w:rPr>
          <w:color w:val="8496B0" w:themeColor="text2" w:themeTint="99"/>
        </w:rPr>
      </w:pPr>
    </w:p>
    <w:p w14:paraId="4CB161E4" w14:textId="4C053647" w:rsidR="002C4485" w:rsidRDefault="002C4485" w:rsidP="002C4485">
      <w:pPr>
        <w:pStyle w:val="ListParagraph"/>
        <w:ind w:left="1440"/>
        <w:jc w:val="both"/>
        <w:rPr>
          <w:color w:val="8496B0" w:themeColor="text2" w:themeTint="99"/>
          <w:sz w:val="20"/>
          <w:szCs w:val="20"/>
        </w:rPr>
      </w:pPr>
    </w:p>
    <w:p w14:paraId="7F002272" w14:textId="77777777" w:rsidR="002C4485" w:rsidRPr="002C4485" w:rsidRDefault="002C4485" w:rsidP="002C4485">
      <w:pPr>
        <w:pStyle w:val="ListParagraph"/>
        <w:ind w:left="1440"/>
        <w:jc w:val="both"/>
        <w:rPr>
          <w:color w:val="8496B0" w:themeColor="text2" w:themeTint="99"/>
        </w:rPr>
      </w:pPr>
    </w:p>
    <w:p w14:paraId="44FEE571" w14:textId="77777777" w:rsidR="005946DF" w:rsidRPr="00262940" w:rsidRDefault="005946DF" w:rsidP="005946DF">
      <w:pPr>
        <w:rPr>
          <w:b/>
          <w:bCs/>
          <w:color w:val="1F3864" w:themeColor="accent1" w:themeShade="80"/>
          <w:sz w:val="24"/>
          <w:szCs w:val="24"/>
        </w:rPr>
      </w:pPr>
    </w:p>
    <w:p w14:paraId="6E6B50DB" w14:textId="77777777" w:rsidR="00262940" w:rsidRPr="00262940" w:rsidRDefault="00262940" w:rsidP="00262940">
      <w:pPr>
        <w:rPr>
          <w:color w:val="1F3864" w:themeColor="accent1" w:themeShade="80"/>
          <w:sz w:val="24"/>
          <w:szCs w:val="24"/>
        </w:rPr>
      </w:pPr>
    </w:p>
    <w:p w14:paraId="572E0319" w14:textId="77777777" w:rsidR="00262940" w:rsidRPr="00262940" w:rsidRDefault="00262940" w:rsidP="00262940"/>
    <w:p w14:paraId="44AC6315" w14:textId="630FB135" w:rsidR="00A26A6B" w:rsidRPr="00262940" w:rsidRDefault="00262940" w:rsidP="00262940">
      <w:pPr>
        <w:pStyle w:val="Title"/>
        <w:rPr>
          <w:sz w:val="32"/>
          <w:szCs w:val="32"/>
        </w:rPr>
      </w:pPr>
      <w:r w:rsidRPr="00262940">
        <w:rPr>
          <w:color w:val="1F3864" w:themeColor="accent1" w:themeShade="80"/>
          <w:sz w:val="32"/>
          <w:szCs w:val="32"/>
        </w:rPr>
        <w:t xml:space="preserve">                    </w:t>
      </w:r>
      <w:r w:rsidRPr="00262940">
        <w:rPr>
          <w:sz w:val="32"/>
          <w:szCs w:val="32"/>
        </w:rPr>
        <w:t xml:space="preserve">  </w:t>
      </w:r>
    </w:p>
    <w:sectPr w:rsidR="00A26A6B" w:rsidRPr="0026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61EAC"/>
    <w:multiLevelType w:val="hybridMultilevel"/>
    <w:tmpl w:val="BA8C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24B3E"/>
    <w:multiLevelType w:val="hybridMultilevel"/>
    <w:tmpl w:val="9AD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D73EF"/>
    <w:multiLevelType w:val="hybridMultilevel"/>
    <w:tmpl w:val="36F018A6"/>
    <w:lvl w:ilvl="0" w:tplc="F56E3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A3437"/>
    <w:multiLevelType w:val="hybridMultilevel"/>
    <w:tmpl w:val="A77E0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940"/>
    <w:rsid w:val="00262940"/>
    <w:rsid w:val="002C4485"/>
    <w:rsid w:val="002E3750"/>
    <w:rsid w:val="003937CC"/>
    <w:rsid w:val="005946DF"/>
    <w:rsid w:val="007118A0"/>
    <w:rsid w:val="00901AF1"/>
    <w:rsid w:val="00A26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9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4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9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abdullah</dc:creator>
  <cp:lastModifiedBy>user</cp:lastModifiedBy>
  <cp:revision>2</cp:revision>
  <dcterms:created xsi:type="dcterms:W3CDTF">2021-05-06T20:10:00Z</dcterms:created>
  <dcterms:modified xsi:type="dcterms:W3CDTF">2021-05-06T20:10:00Z</dcterms:modified>
</cp:coreProperties>
</file>