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Data Modelling for Risk</w:t>
      </w:r>
    </w:p>
    <w:p>
      <w:pPr>
        <w:spacing w:after="120" w:before="0"/>
      </w:pPr>
      <w:r>
        <w:rPr>
          <w:i/>
          <w:iCs/>
          <w:color w:val="5B6B7D"/>
          <w:sz w:val="24"/>
          <w:szCs w:val="24"/>
        </w:rPr>
        <w:t xml:space="preserve">A practical guide — from application reports to a connected model</w:t>
      </w:r>
    </w:p>
    <w:p>
      <w:pPr>
        <w:pBdr>
          <w:bottom w:val="single" w:color="2E5C8A" w:sz="12" w:space="1"/>
        </w:pBd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Change markers in this version: </w:t>
            </w:r>
            <w:r>
              <w:rPr>
                <w:sz w:val="22"/>
                <w:szCs w:val="22"/>
              </w:rPr>
              <w:t xml:space="preserve">sections and paragraphs marked with </w:t>
            </w:r>
            <w:r>
              <w:rPr>
                <w:b/>
                <w:bCs/>
                <w:color w:val="C04A3D"/>
                <w:sz w:val="22"/>
                <w:szCs w:val="22"/>
              </w:rPr>
              <w:t xml:space="preserve">✦</w:t>
            </w:r>
            <w:r>
              <w:rPr>
                <w:sz w:val="22"/>
                <w:szCs w:val="22"/>
              </w:rPr>
              <w:t xml:space="preserve"> are new or changed since the previous published version. </w:t>
            </w:r>
            <w:r>
              <w:rPr>
                <w:b/>
                <w:bCs/>
                <w:color w:val="C04A3D"/>
                <w:sz w:val="22"/>
                <w:szCs w:val="22"/>
              </w:rPr>
              <w:t xml:space="preserve">✦ NEW </w:t>
            </w:r>
            <w:r>
              <w:rPr>
                <w:sz w:val="22"/>
                <w:szCs w:val="22"/>
              </w:rPr>
              <w:t xml:space="preserve">= section that did not exist before. </w:t>
            </w:r>
            <w:r>
              <w:rPr>
                <w:b/>
                <w:bCs/>
                <w:color w:val="C04A3D"/>
                <w:sz w:val="22"/>
                <w:szCs w:val="22"/>
              </w:rPr>
              <w:t xml:space="preserve">✦ CHANGED </w:t>
            </w:r>
            <w:r>
              <w:rPr>
                <w:sz w:val="22"/>
                <w:szCs w:val="22"/>
              </w:rPr>
              <w:t xml:space="preserve">= section with added or modified content. Unmarked sections are unchanged.</w:t>
            </w:r>
          </w:p>
        </w:tc>
      </w:tr>
    </w:tbl>
    <w:p>
      <w:pPr>
        <w:spacing w:after="80" w:before="80" w:line="300"/>
      </w:pPr>
      <w:r>
        <w:rPr>
          <w:sz w:val="22"/>
          <w:szCs w:val="22"/>
        </w:rPr>
        <w:t xml:space="preserve">This page describes how risk data moves from where it lives today — as application reports and extracts — to a connected, conformed model that an analytics platform and the enterprise data layer can rely on. The work is to give structure to data that risk applications already produce. Collateral data, produced by the CMOS application, is used as the worked example throughout.</w:t>
      </w:r>
    </w:p>
    <w:p>
      <w:pPr>
        <w:spacing w:after="80" w:before="80" w:line="300"/>
      </w:pPr>
      <w:r>
        <w:rPr>
          <w:sz w:val="22"/>
          <w:szCs w:val="22"/>
        </w:rPr>
        <w:t xml:space="preserve">This page is for application and data teams in risk — anyone whose system produces data that is consumed somewhere downstream. No prior data modelling background is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On this page: </w:t>
            </w:r>
            <w:r>
              <w:rPr>
                <w:sz w:val="22"/>
                <w:szCs w:val="22"/>
              </w:rPr>
              <w:t xml:space="preserve">the starting point today, what is inside a report row, how an analytical model is shaped, how conformance makes cross-application data comparable, how logical and physical models differ (including how APIs fit in), and how the three models — Report, Dimensional, Canonical — connect.</w:t>
            </w:r>
          </w:p>
          <w:p>
            <w:pPr>
              <w:spacing w:after="40" w:before="40" w:line="300"/>
            </w:pPr>
            <w:r>
              <w:rPr>
                <w:sz w:val="22"/>
                <w:szCs w:val="22"/>
              </w:rPr>
              <w:t xml:space="preserve">Sub-pages cover </w:t>
            </w:r>
            <w:r>
              <w:rPr>
                <w:i/>
                <w:iCs/>
                <w:sz w:val="22"/>
                <w:szCs w:val="22"/>
              </w:rPr>
              <w:t xml:space="preserve">conformance in depth, how the data contract is composed, the move from query-based to model-based consumption, the working strategy for starting, and two full worked examples (Collateral and Credit Curves).</w:t>
            </w:r>
          </w:p>
        </w:tc>
      </w:tr>
    </w:tbl>
    <w:p>
      <w:pPr>
        <w:pStyle w:val="Heading2"/>
        <w:spacing w:after="160" w:before="320"/>
      </w:pPr>
      <w:r>
        <w:rPr>
          <w:b/>
          <w:bCs/>
          <w:color w:val="2E5C8A"/>
          <w:sz w:val="28"/>
          <w:szCs w:val="28"/>
        </w:rPr>
        <w:t xml:space="preserve">A brief note on collateral</w:t>
      </w:r>
    </w:p>
    <w:p>
      <w:pPr>
        <w:spacing w:after="80" w:before="80" w:line="300"/>
      </w:pPr>
      <w:r>
        <w:rPr>
          <w:sz w:val="22"/>
          <w:szCs w:val="22"/>
        </w:rPr>
        <w:t xml:space="preserve">Collateral, in the counterparty credit risk context, refers to assets posted between TD and its counterparties to mitigate exposure on derivative trades. When a counterparty owes TD more than an agreed threshold under a netting agreement, they post collateral to cover that exposure. The exposure is recalculated daily; collateral movements follow. The Collateral Management Operations System (CMOS) is the application of record at TD for these activities — it produces the exposure calculations, the margin call instructions, the settlement records, and the dispute log.</w:t>
      </w:r>
    </w:p>
    <w:p>
      <w:pPr>
        <w:spacing w:after="80" w:before="80" w:line="300"/>
      </w:pPr>
      <w:r>
        <w:rPr>
          <w:sz w:val="22"/>
          <w:szCs w:val="22"/>
        </w:rPr>
        <w:t xml:space="preserve">CMOS is used as the worked example on this page because its data is concrete, the reports it produces are familiar to most risk teams, and it touches multiple risk domains — credit risk, market risk, regulatory reporting. The modelling concepts described here apply equally to other risk applications.</w:t>
      </w:r>
    </w:p>
    <w:p>
      <w:pPr>
        <w:pStyle w:val="Heading2"/>
        <w:spacing w:after="160" w:before="320"/>
      </w:pPr>
      <w:r>
        <w:rPr>
          <w:b/>
          <w:bCs/>
          <w:color w:val="2E5C8A"/>
          <w:sz w:val="28"/>
          <w:szCs w:val="28"/>
        </w:rPr>
        <w:t xml:space="preserve">The shift we are making</w:t>
      </w:r>
    </w:p>
    <w:p>
      <w:pPr>
        <w:spacing w:after="80" w:before="80" w:line="300"/>
      </w:pPr>
      <w:r>
        <w:rPr>
          <w:sz w:val="22"/>
          <w:szCs w:val="22"/>
        </w:rPr>
        <w:t xml:space="preserve">Risk data today is shaped around individual applications. Each application produces its own reports and extracts, modelled for one immediate use case. The same business concept — counterparty, agreement, asset class — appears in different forms across applications, and downstream consumers spend significant effort reconciling them.</w:t>
      </w:r>
    </w:p>
    <w:p>
      <w:pPr>
        <w:spacing w:after="80" w:before="80" w:line="300"/>
      </w:pPr>
      <w:r>
        <w:rPr>
          <w:sz w:val="22"/>
          <w:szCs w:val="22"/>
        </w:rPr>
        <w:t xml:space="preserve">The direction we are moving in is a connected model. Entities are defined once and used consistently across applications. The data is organised so that an analytics platform can query it directly, and so that conformed entities feed the enterprise canonical data model. The shift is incremental: none of this requires a rebuild of the source applications. It requires giving structure to data the applications already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Today</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Target state</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Each application produces its own reports and extracts.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Entities defined once, used consistently across applications.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Data shaped around one application, one use case.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 dimensional model an analytics platform can query directly.</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same business concept named differently across systems.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 canonical model that feeds the enterprise data layer.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Every new question routes back to a developer.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Governed data products with contracts, lineage, and ownership.</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Cross-application joins are unreliable.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Cross-application joins reconcile because entities are conformed.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The shift — application-centric reports to a connected model ]</w:t>
            </w:r>
          </w:p>
          <w:p>
            <w:pPr>
              <w:spacing w:after="40" w:before="40"/>
            </w:pPr>
            <w:r>
              <w:rPr>
                <w:i/>
                <w:iCs/>
                <w:color w:val="5B6B7D"/>
                <w:sz w:val="20"/>
                <w:szCs w:val="20"/>
              </w:rPr>
              <w:t xml:space="preserve">Source: Deck slide 2</w:t>
            </w:r>
          </w:p>
          <w:p>
            <w:pPr>
              <w:spacing w:after="40" w:before="40"/>
            </w:pPr>
            <w:r>
              <w:rPr>
                <w:color w:val="5B6B7D"/>
                <w:sz w:val="20"/>
                <w:szCs w:val="20"/>
              </w:rPr>
              <w:t xml:space="preserve">Two-column comparison: today's report-centric world on the left, target connected model on the right, with the modelling artefacts that sit between them.</w:t>
            </w:r>
          </w:p>
        </w:tc>
      </w:tr>
    </w:tbl>
    <w:p>
      <w:pPr>
        <w:pStyle w:val="Heading2"/>
        <w:spacing w:after="160" w:before="320"/>
      </w:pPr>
      <w:r>
        <w:rPr>
          <w:b/>
          <w:bCs/>
          <w:color w:val="C04A3D"/>
          <w:sz w:val="22"/>
          <w:szCs w:val="22"/>
        </w:rPr>
        <w:t xml:space="preserve">✦ NEW  </w:t>
      </w:r>
      <w:r>
        <w:rPr>
          <w:b/>
          <w:bCs/>
          <w:color w:val="2E5C8A"/>
          <w:sz w:val="28"/>
          <w:szCs w:val="28"/>
        </w:rPr>
        <w:t xml:space="preserve">Logical model → physical model → distribution format and API</w:t>
      </w:r>
    </w:p>
    <w:p>
      <w:pPr>
        <w:spacing w:after="80" w:before="80" w:line="300"/>
      </w:pPr>
      <w:r>
        <w:rPr>
          <w:sz w:val="22"/>
          <w:szCs w:val="22"/>
        </w:rPr>
        <w:t xml:space="preserve">Before going further, one architectural framing matters and is worth stating directly. There is a common confusion in conversations about how to publish data: that "I'll just use an API" or "I want JSON, not joins" or "give me a snowflake" or "a canned report works for me" are alternatives to data modelling. They are not. Each is a physical implementation or distribution choice sitting on top of (or, more often, in the absence of) a logical model.</w:t>
      </w:r>
    </w:p>
    <w:p>
      <w:pPr>
        <w:spacing w:after="80" w:before="80" w:line="300"/>
      </w:pPr>
      <w:r>
        <w:rPr>
          <w:sz w:val="22"/>
          <w:szCs w:val="22"/>
        </w:rPr>
        <w:t xml:space="preserve">The clarifying picture is three layers, not two:</w:t>
      </w:r>
    </w:p>
    <w:p>
      <w:pPr>
        <w:pStyle w:val="ListParagraph"/>
        <w:numPr>
          <w:ilvl w:val="0"/>
          <w:numId w:val="2"/>
        </w:numPr>
        <w:spacing w:after="40" w:before="40" w:line="280"/>
      </w:pPr>
      <w:r>
        <w:rPr>
          <w:b/>
          <w:bCs/>
          <w:sz w:val="22"/>
          <w:szCs w:val="22"/>
        </w:rPr>
        <w:t xml:space="preserve">The logical model </w:t>
      </w:r>
      <w:r>
        <w:rPr>
          <w:sz w:val="22"/>
          <w:szCs w:val="22"/>
        </w:rPr>
        <w:t xml:space="preserve">— the entities, attributes, and relationships that describe the domain in business terms. This is the conformed artefact, the source of meaning. Independent of any database, any file format, any API design.</w:t>
      </w:r>
    </w:p>
    <w:p>
      <w:pPr>
        <w:pStyle w:val="ListParagraph"/>
        <w:numPr>
          <w:ilvl w:val="0"/>
          <w:numId w:val="2"/>
        </w:numPr>
        <w:spacing w:after="40" w:before="40" w:line="280"/>
      </w:pPr>
      <w:r>
        <w:rPr>
          <w:b/>
          <w:bCs/>
          <w:sz w:val="22"/>
          <w:szCs w:val="22"/>
        </w:rPr>
        <w:t xml:space="preserve">The physical model </w:t>
      </w:r>
      <w:r>
        <w:rPr>
          <w:sz w:val="22"/>
          <w:szCs w:val="22"/>
        </w:rPr>
        <w:t xml:space="preserve">— how the logical model is materialised for storage and querying. Star schema, snowflake, denormalised flat, OBT, document store. Each is a legitimate physical realisation of the same logical model, optimised for different consumption patterns. The physical choice trades off integrity, storage, query simplicity, and schema-evolution flexibility — but it does not change what the data means.</w:t>
      </w:r>
    </w:p>
    <w:p>
      <w:pPr>
        <w:pStyle w:val="ListParagraph"/>
        <w:numPr>
          <w:ilvl w:val="0"/>
          <w:numId w:val="2"/>
        </w:numPr>
        <w:spacing w:after="40" w:before="40" w:line="280"/>
      </w:pPr>
      <w:r>
        <w:rPr>
          <w:b/>
          <w:bCs/>
          <w:sz w:val="22"/>
          <w:szCs w:val="22"/>
        </w:rPr>
        <w:t xml:space="preserve">The distribution format and protocol — including APIs </w:t>
      </w:r>
      <w:r>
        <w:rPr>
          <w:sz w:val="22"/>
          <w:szCs w:val="22"/>
        </w:rPr>
        <w:t xml:space="preserve">— how the physical data gets delivered to consumers. A REST API is a protocol (web-based request/response); JSON is a distribution format (how data is serialised in transit). The two are pairs: REST/JSON, GraphQL/JSON, database connection/SQL result-set, file drop/CSV, streaming pipe/Avro. The distribution layer chooses how the data leaves the system, not what it means.</w:t>
      </w:r>
    </w:p>
    <w:p>
      <w:pPr>
        <w:spacing w:after="80" w:before="80" w:line="300"/>
      </w:pPr>
      <w:r>
        <w:rPr>
          <w:sz w:val="22"/>
          <w:szCs w:val="22"/>
        </w:rPr>
        <w:t xml:space="preserve">A consumer who says "I want JSON" is making a distribution-format choice. A consumer who says "I want an API" is making a protocol choice. Neither tells you anything about the underlying logical model — and neither replaces the need for one. An API delivering JSON is the consumer-facing surface; behind it, there is still a physical store, and behind that, there is still (or should still be) a logical model. The joins that the consumer was hoping to avoid by "just using an API" still happen — they happen inside the service that backs the API, or they happen eagerly by denormalising into the JSON shape ahead of time. The work doesn't go away; it just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One logical model → many physical realisations → many distribution channels including APIs ]</w:t>
            </w:r>
          </w:p>
          <w:p>
            <w:pPr>
              <w:spacing w:after="40" w:before="40"/>
            </w:pPr>
            <w:r>
              <w:rPr>
                <w:i/>
                <w:iCs/>
                <w:color w:val="5B6B7D"/>
                <w:sz w:val="20"/>
                <w:szCs w:val="20"/>
              </w:rPr>
              <w:t xml:space="preserve">Source: HTML reference doc — Figure 1c</w:t>
            </w:r>
          </w:p>
          <w:p>
            <w:pPr>
              <w:spacing w:after="40" w:before="40"/>
            </w:pPr>
            <w:r>
              <w:rPr>
                <w:color w:val="5B6B7D"/>
                <w:sz w:val="20"/>
                <w:szCs w:val="20"/>
              </w:rPr>
              <w:t xml:space="preserve">Three-layer diagram: one Logical Model at the top (conformed artefact, the source of meaning); below it a row of four Physical Models (star schema, snowflake, denormalised/OBT, document store); below that a row of four Distribution Channels (REST API + JSON, database connection + SQL, file drop + CSV, streaming + Avro). Arrows top-to-bottom showing flow. Bottom callout: the wrong questions are "API or database?", "JSON or table?"; the right questions are "what is the logical model?" and "what physical realisation and distribution channel best serves this consumer?"</w:t>
            </w:r>
          </w:p>
        </w:tc>
      </w:tr>
    </w:tbl>
    <w:p>
      <w:pPr>
        <w:pStyle w:val="Heading3"/>
        <w:spacing w:after="100" w:before="240"/>
      </w:pPr>
      <w:r>
        <w:rPr>
          <w:b/>
          <w:bCs/>
          <w:color w:val="1E2A38"/>
          <w:sz w:val="24"/>
          <w:szCs w:val="24"/>
        </w:rPr>
        <w:t xml:space="preserve">Why this framing matters in practice</w:t>
      </w:r>
    </w:p>
    <w:p>
      <w:pPr>
        <w:spacing w:after="80" w:before="80" w:line="300"/>
      </w:pPr>
      <w:r>
        <w:rPr>
          <w:sz w:val="22"/>
          <w:szCs w:val="22"/>
        </w:rPr>
        <w:t xml:space="preserve">Without this layering, conversations about how to publish data tend to argue at the wrong level. Two teams arguing about API-vs-database, or about JSON-vs-table, are arguing about delivery channels as if those choices replaced the modelling work. They do not. The logical model is needed either way. The choice between delivery channels depends on who the consumer is and what their consumption pattern is — and any of the channels can be conformant if the logical model is properly defined underneath.</w:t>
      </w:r>
    </w:p>
    <w:p>
      <w:pPr>
        <w:spacing w:after="80" w:before="80" w:line="300"/>
      </w:pPr>
      <w:r>
        <w:rPr>
          <w:sz w:val="22"/>
          <w:szCs w:val="22"/>
        </w:rPr>
        <w:t xml:space="preserve">A second consequence: APIs do not exempt the application team from modelling discipline. The fact that consumers see a clean JSON response does not mean joins have stopped existing; it means the joins now live inside the API service or in eagerly-denormalised JSON shapes. If those joins embed conformance assumptions the consuming application doesn't know about, the consumer gets data that looks correct but doesn't mean what they think it means. The conformance work has not been skipped — it has been hidden, which is worse, because now no consumer can verify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The principle worth carrying forward: </w:t>
            </w:r>
            <w:r>
              <w:rPr>
                <w:sz w:val="22"/>
                <w:szCs w:val="22"/>
              </w:rPr>
              <w:t xml:space="preserve">the logical model is the conformed artefact. Multiple legitimate physical realisations sit downstream of it. Multiple legitimate distribution channels — including APIs — sit further downstream of that. Picking a distribution channel without a logical model produces data that looks right and does not mean right. Picking a physical model without a logical model produces tables that join cleanly to nothing. The order is: logical model first, physical model derived from it, distribution channel selected per consumer.</w:t>
            </w:r>
          </w:p>
        </w:tc>
      </w:tr>
    </w:tbl>
    <w:p>
      <w:pPr>
        <w:pStyle w:val="Heading2"/>
        <w:spacing w:after="160" w:before="320"/>
      </w:pPr>
      <w:r>
        <w:rPr>
          <w:b/>
          <w:bCs/>
          <w:color w:val="2E5C8A"/>
          <w:sz w:val="28"/>
          <w:szCs w:val="28"/>
        </w:rPr>
        <w:t xml:space="preserve">A starting point — the collateral application today</w:t>
      </w:r>
    </w:p>
    <w:p>
      <w:pPr>
        <w:spacing w:after="80" w:before="80" w:line="300"/>
      </w:pPr>
      <w:r>
        <w:rPr>
          <w:sz w:val="22"/>
          <w:szCs w:val="22"/>
        </w:rPr>
        <w:t xml:space="preserve">CMOS produces its data as a set of reports plus a domain extract. The reports are flat CSV files; the extract is a nested JSON document at counterparty level, sourced from the CMOS and TAMS APIs.</w:t>
      </w:r>
    </w:p>
    <w:p>
      <w:pPr>
        <w:pStyle w:val="Heading3"/>
        <w:spacing w:after="100" w:before="240"/>
      </w:pPr>
      <w:r>
        <w:rPr>
          <w:b/>
          <w:bCs/>
          <w:color w:val="1E2A38"/>
          <w:sz w:val="24"/>
          <w:szCs w:val="24"/>
        </w:rPr>
        <w:t xml:space="preserve">Available files</w:t>
      </w:r>
    </w:p>
    <w:p>
      <w:pPr>
        <w:spacing w:after="80" w:before="80" w:line="300"/>
      </w:pPr>
      <w:r>
        <w:rPr>
          <w:sz w:val="22"/>
          <w:szCs w:val="22"/>
        </w:rPr>
        <w:t xml:space="preserve">The files below are the actual outputs from CMOS today. The page references them throughout.</w:t>
      </w:r>
    </w:p>
    <w:p>
      <w:pPr>
        <w:spacing w:after="40" w:before="40"/>
      </w:pPr>
      <w:r>
        <w:rPr>
          <w:sz w:val="22"/>
          <w:szCs w:val="22"/>
        </w:rPr>
        <w:t xml:space="preserve">🛠 </w:t>
      </w:r>
      <w:r>
        <w:rPr>
          <w:i/>
          <w:iCs/>
          <w:color w:val="2E5C8A"/>
          <w:sz w:val="22"/>
          <w:szCs w:val="22"/>
        </w:rPr>
        <w:t xml:space="preserve">[Tool link to attach in Confluence: Daily Exposure — CSV (margin call events, one row per call)]</w:t>
      </w:r>
    </w:p>
    <w:p>
      <w:pPr>
        <w:spacing w:after="40" w:before="40"/>
      </w:pPr>
      <w:r>
        <w:rPr>
          <w:sz w:val="22"/>
          <w:szCs w:val="22"/>
        </w:rPr>
        <w:t xml:space="preserve">🛠 </w:t>
      </w:r>
      <w:r>
        <w:rPr>
          <w:i/>
          <w:iCs/>
          <w:color w:val="2E5C8A"/>
          <w:sz w:val="22"/>
          <w:szCs w:val="22"/>
        </w:rPr>
        <w:t xml:space="preserve">[Tool link to attach in Confluence: Disputes — CSV (open and resolved disputes)]</w:t>
      </w:r>
    </w:p>
    <w:p>
      <w:pPr>
        <w:spacing w:after="40" w:before="40"/>
      </w:pPr>
      <w:r>
        <w:rPr>
          <w:sz w:val="22"/>
          <w:szCs w:val="22"/>
        </w:rPr>
        <w:t xml:space="preserve">🛠 </w:t>
      </w:r>
      <w:r>
        <w:rPr>
          <w:i/>
          <w:iCs/>
          <w:color w:val="2E5C8A"/>
          <w:sz w:val="22"/>
          <w:szCs w:val="22"/>
        </w:rPr>
        <w:t xml:space="preserve">[Tool link to attach in Confluence: Settlements — CSV (settlement instructions)]</w:t>
      </w:r>
    </w:p>
    <w:p>
      <w:pPr>
        <w:spacing w:after="40" w:before="40"/>
      </w:pPr>
      <w:r>
        <w:rPr>
          <w:sz w:val="22"/>
          <w:szCs w:val="22"/>
        </w:rPr>
        <w:t xml:space="preserve">🛠 </w:t>
      </w:r>
      <w:r>
        <w:rPr>
          <w:i/>
          <w:iCs/>
          <w:color w:val="2E5C8A"/>
          <w:sz w:val="22"/>
          <w:szCs w:val="22"/>
        </w:rPr>
        <w:t xml:space="preserve">[Tool link to attach in Confluence: Trades — CSV (trade-level detail)]</w:t>
      </w:r>
    </w:p>
    <w:p>
      <w:pPr>
        <w:spacing w:after="40" w:before="40"/>
      </w:pPr>
      <w:r>
        <w:rPr>
          <w:sz w:val="22"/>
          <w:szCs w:val="22"/>
        </w:rPr>
        <w:t xml:space="preserve">🛠 </w:t>
      </w:r>
      <w:r>
        <w:rPr>
          <w:i/>
          <w:iCs/>
          <w:color w:val="2E5C8A"/>
          <w:sz w:val="22"/>
          <w:szCs w:val="22"/>
        </w:rPr>
        <w:t xml:space="preserve">[Tool link to attach in Confluence: Collateral Domain — JSON (nested entities and TAMS data, one document per counterparty)]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CMOS report inventory ]</w:t>
            </w:r>
          </w:p>
          <w:p>
            <w:pPr>
              <w:spacing w:after="40" w:before="40"/>
            </w:pPr>
            <w:r>
              <w:rPr>
                <w:i/>
                <w:iCs/>
                <w:color w:val="5B6B7D"/>
                <w:sz w:val="20"/>
                <w:szCs w:val="20"/>
              </w:rPr>
              <w:t xml:space="preserve">Source: Deck slide 3</w:t>
            </w:r>
          </w:p>
          <w:p>
            <w:pPr>
              <w:spacing w:after="40" w:before="40"/>
            </w:pPr>
            <w:r>
              <w:rPr>
                <w:color w:val="5B6B7D"/>
                <w:sz w:val="20"/>
                <w:szCs w:val="20"/>
              </w:rPr>
              <w:t xml:space="preserve">Visual inventory of the five files: four CSV reports plus the JSON domain extract.</w:t>
            </w:r>
          </w:p>
        </w:tc>
      </w:tr>
    </w:tbl>
    <w:p>
      <w:pPr>
        <w:pStyle w:val="Heading3"/>
        <w:spacing w:after="100" w:before="240"/>
      </w:pPr>
      <w:r>
        <w:rPr>
          <w:b/>
          <w:bCs/>
          <w:color w:val="1E2A38"/>
          <w:sz w:val="24"/>
          <w:szCs w:val="24"/>
        </w:rPr>
        <w:t xml:space="preserve">What these files do not tell the consumer</w:t>
      </w:r>
    </w:p>
    <w:p>
      <w:pPr>
        <w:spacing w:after="80" w:before="80" w:line="300"/>
      </w:pPr>
      <w:r>
        <w:rPr>
          <w:sz w:val="22"/>
          <w:szCs w:val="22"/>
        </w:rPr>
        <w:t xml:space="preserve">Each file is readable as a flat document, but the structure required to use them analytically is not declared. Specifically:</w:t>
      </w:r>
    </w:p>
    <w:p>
      <w:pPr>
        <w:pStyle w:val="ListParagraph"/>
        <w:numPr>
          <w:ilvl w:val="0"/>
          <w:numId w:val="2"/>
        </w:numPr>
        <w:spacing w:after="40" w:before="40" w:line="280"/>
      </w:pPr>
      <w:r>
        <w:rPr>
          <w:sz w:val="22"/>
          <w:szCs w:val="22"/>
        </w:rPr>
        <w:t xml:space="preserve">There is no schema describing the columns formally.</w:t>
      </w:r>
    </w:p>
    <w:p>
      <w:pPr>
        <w:pStyle w:val="ListParagraph"/>
        <w:numPr>
          <w:ilvl w:val="0"/>
          <w:numId w:val="2"/>
        </w:numPr>
        <w:spacing w:after="40" w:before="40" w:line="280"/>
      </w:pPr>
      <w:r>
        <w:rPr>
          <w:sz w:val="22"/>
          <w:szCs w:val="22"/>
        </w:rPr>
        <w:t xml:space="preserve">Field meanings are not documented — what each attribute represents must be inferred.</w:t>
      </w:r>
    </w:p>
    <w:p>
      <w:pPr>
        <w:pStyle w:val="ListParagraph"/>
        <w:numPr>
          <w:ilvl w:val="0"/>
          <w:numId w:val="2"/>
        </w:numPr>
        <w:spacing w:after="40" w:before="40" w:line="280"/>
      </w:pPr>
      <w:r>
        <w:rPr>
          <w:sz w:val="22"/>
          <w:szCs w:val="22"/>
        </w:rPr>
        <w:t xml:space="preserve">The source of each field — which upstream system supplied the value — is not stated.</w:t>
      </w:r>
    </w:p>
    <w:p>
      <w:pPr>
        <w:pStyle w:val="ListParagraph"/>
        <w:numPr>
          <w:ilvl w:val="0"/>
          <w:numId w:val="2"/>
        </w:numPr>
        <w:spacing w:after="40" w:before="40" w:line="280"/>
      </w:pPr>
      <w:r>
        <w:rPr>
          <w:sz w:val="22"/>
          <w:szCs w:val="22"/>
        </w:rPr>
        <w:t xml:space="preserve">The level at which each calculated number was produced is not declared. This affects whether numbers can be safely added together.</w:t>
      </w:r>
    </w:p>
    <w:p>
      <w:pPr>
        <w:pStyle w:val="ListParagraph"/>
        <w:numPr>
          <w:ilvl w:val="0"/>
          <w:numId w:val="2"/>
        </w:numPr>
        <w:spacing w:after="40" w:before="40" w:line="280"/>
      </w:pPr>
      <w:r>
        <w:rPr>
          <w:sz w:val="22"/>
          <w:szCs w:val="22"/>
        </w:rPr>
        <w:t xml:space="preserve">The keys required to join across files are not aligned.</w:t>
      </w:r>
    </w:p>
    <w:p>
      <w:pPr>
        <w:spacing w:after="80" w:before="80" w:line="300"/>
      </w:pPr>
      <w:r>
        <w:rPr>
          <w:sz w:val="22"/>
          <w:szCs w:val="22"/>
        </w:rPr>
        <w:t xml:space="preserve">Each of these gaps is addressed by the modelling work described on this page.</w:t>
      </w:r>
    </w:p>
    <w:p>
      <w:pPr>
        <w:pStyle w:val="Heading2"/>
        <w:spacing w:after="160" w:before="320"/>
      </w:pPr>
      <w:r>
        <w:rPr>
          <w:b/>
          <w:bCs/>
          <w:color w:val="2E5C8A"/>
          <w:sz w:val="28"/>
          <w:szCs w:val="28"/>
        </w:rPr>
        <w:t xml:space="preserve">A conformance concern, made concrete</w:t>
      </w:r>
    </w:p>
    <w:p>
      <w:pPr>
        <w:spacing w:after="80" w:before="80" w:line="300"/>
      </w:pPr>
      <w:r>
        <w:rPr>
          <w:sz w:val="22"/>
          <w:szCs w:val="22"/>
        </w:rPr>
        <w:t xml:space="preserve">When the same counterparty appears in different files produced by the same application, the identifying values do not always align. Taking one counterparty from the actual CMOS sample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Central 1 Credit Union — identified three different ways across three files ]</w:t>
            </w:r>
          </w:p>
          <w:p>
            <w:pPr>
              <w:spacing w:after="40" w:before="40"/>
            </w:pPr>
            <w:r>
              <w:rPr>
                <w:i/>
                <w:iCs/>
                <w:color w:val="5B6B7D"/>
                <w:sz w:val="20"/>
                <w:szCs w:val="20"/>
              </w:rPr>
              <w:t xml:space="preserve">Source: Deck slide 4</w:t>
            </w:r>
          </w:p>
          <w:p>
            <w:pPr>
              <w:spacing w:after="40" w:before="40"/>
            </w:pPr>
            <w:r>
              <w:rPr>
                <w:color w:val="5B6B7D"/>
                <w:sz w:val="20"/>
                <w:szCs w:val="20"/>
              </w:rPr>
              <w:t xml:space="preserve">Side-by-side comparison: Disputes.csv shows "CENTRAL 1 CREDIT UNION", Agreements.csv shows "CENTRAL 1 CREDIT UNION:BCCU", DailyExposure.csv shows "TDBK_BCCU_GENERAL_CSA". Three files, three values, same underlying counterparty.</w:t>
            </w:r>
          </w:p>
        </w:tc>
      </w:tr>
    </w:tbl>
    <w:p>
      <w:pPr>
        <w:spacing w:after="80" w:before="80" w:line="300"/>
      </w:pPr>
      <w:r>
        <w:rPr>
          <w:sz w:val="22"/>
          <w:szCs w:val="22"/>
        </w:rPr>
        <w:t xml:space="preserve">Three files from the same application carry three different strings for the same counterparty. One of the files (DailyExposure) uses what appears to be an agreement code rather than a counterparty identifier at all. A consumer attempting to join across these files needs to reconcile the values manually before any cross-file analysis is possible.</w:t>
      </w:r>
    </w:p>
    <w:p>
      <w:pPr>
        <w:spacing w:after="80" w:before="80" w:line="300"/>
      </w:pPr>
      <w:r>
        <w:rPr>
          <w:sz w:val="22"/>
          <w:szCs w:val="22"/>
        </w:rPr>
        <w:t xml:space="preserve">This is a conformance concern. The same logical entity — Counterparty — is represented inconsistently across data sources. The values look similar to a human reader but do not align programmatically, and downstream consumers cannot combine the files reliably without prior reconciliation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sz w:val="22"/>
                <w:szCs w:val="22"/>
              </w:rPr>
              <w:t xml:space="preserve">In plain terms, conformance is the difference between </w:t>
            </w:r>
            <w:r>
              <w:rPr>
                <w:b/>
                <w:bCs/>
                <w:sz w:val="22"/>
                <w:szCs w:val="22"/>
              </w:rPr>
              <w:t xml:space="preserve">two files publishing data that looks the same</w:t>
            </w:r>
            <w:r>
              <w:rPr>
                <w:sz w:val="22"/>
                <w:szCs w:val="22"/>
              </w:rPr>
              <w:t xml:space="preserve"> and </w:t>
            </w:r>
            <w:r>
              <w:rPr>
                <w:b/>
                <w:bCs/>
                <w:sz w:val="22"/>
                <w:szCs w:val="22"/>
              </w:rPr>
              <w:t xml:space="preserve">two files publishing data that means the same</w:t>
            </w:r>
            <w:r>
              <w:rPr>
                <w:sz w:val="22"/>
                <w:szCs w:val="22"/>
              </w:rPr>
              <w:t xml:space="preserve">. Only the second can be combined safely.</w:t>
            </w:r>
          </w:p>
        </w:tc>
      </w:tr>
    </w:tbl>
    <w:p>
      <w:pPr>
        <w:spacing w:after="80" w:before="80" w:line="300"/>
      </w:pPr>
      <w:r>
        <w:rPr>
          <w:sz w:val="22"/>
          <w:szCs w:val="22"/>
        </w:rPr>
        <w:t xml:space="preserve">Resolving this requires one agreed identifier for each counterparty, used consistently across every file the application produces. The wider conformance topic — including how this applies across applications, not just within one — is covered in the sub-page below.</w:t>
      </w:r>
    </w:p>
    <w:p>
      <w:pPr>
        <w:spacing w:after="40" w:before="40"/>
      </w:pPr>
      <w:r>
        <w:rPr>
          <w:sz w:val="22"/>
          <w:szCs w:val="22"/>
        </w:rPr>
        <w:t xml:space="preserve">🛠 </w:t>
      </w:r>
      <w:r>
        <w:rPr>
          <w:i/>
          <w:iCs/>
          <w:color w:val="2E5C8A"/>
          <w:sz w:val="22"/>
          <w:szCs w:val="22"/>
        </w:rPr>
        <w:t xml:space="preserve">[Tool link to attach in Confluence: Conformance — the longer view (sub-page)]</w:t>
      </w:r>
    </w:p>
    <w:p>
      <w:pPr>
        <w:pStyle w:val="Heading2"/>
        <w:spacing w:after="160" w:before="320"/>
      </w:pPr>
      <w:r>
        <w:rPr>
          <w:b/>
          <w:bCs/>
          <w:color w:val="2E5C8A"/>
          <w:sz w:val="28"/>
          <w:szCs w:val="28"/>
        </w:rPr>
        <w:t xml:space="preserve">What is inside a report row</w:t>
      </w:r>
    </w:p>
    <w:p>
      <w:pPr>
        <w:spacing w:after="80" w:before="80" w:line="300"/>
      </w:pPr>
      <w:r>
        <w:rPr>
          <w:sz w:val="22"/>
          <w:szCs w:val="22"/>
        </w:rPr>
        <w:t xml:space="preserve">A single row in the Daily Exposure file looks like one record. Structurally, it is several distinct concepts bundled together: some attributes describing who and when, and a number representing what the application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Anatomy of a Daily Exposure row ]</w:t>
            </w:r>
          </w:p>
          <w:p>
            <w:pPr>
              <w:spacing w:after="40" w:before="40"/>
            </w:pPr>
            <w:r>
              <w:rPr>
                <w:i/>
                <w:iCs/>
                <w:color w:val="5B6B7D"/>
                <w:sz w:val="20"/>
                <w:szCs w:val="20"/>
              </w:rPr>
              <w:t xml:space="preserve">Source: Deck slide 5</w:t>
            </w:r>
          </w:p>
          <w:p>
            <w:pPr>
              <w:spacing w:after="40" w:before="40"/>
            </w:pPr>
            <w:r>
              <w:rPr>
                <w:color w:val="5B6B7D"/>
                <w:sz w:val="20"/>
                <w:szCs w:val="20"/>
              </w:rPr>
              <w:t xml:space="preserve">One row from Daily Exposure broken into labelled parts: Counterparty, Agreement Id, Event Date, Call Status are descriptive attributes (dimensions); Base Total Exposure is the calculated number (measure).</w:t>
            </w:r>
          </w:p>
        </w:tc>
      </w:tr>
    </w:tbl>
    <w:p>
      <w:pPr>
        <w:spacing w:after="80" w:before="80" w:line="300"/>
      </w:pPr>
      <w:r>
        <w:rPr>
          <w:sz w:val="22"/>
          <w:szCs w:val="22"/>
        </w:rPr>
        <w:t xml:space="preserve">The attributes that describe context — Counterparty, Agreement Id, Event Date, Call Status — are the values a consumer would filter by or group by. In modelling terms, these are dimensions. The numeric value the application calculated — Base Total Exposure — is what consumers want to aggregate, compare, or report. In modelling terms, this is a measure.</w:t>
      </w:r>
    </w:p>
    <w:p>
      <w:pPr>
        <w:spacing w:after="80" w:before="80" w:line="300"/>
      </w:pPr>
      <w:r>
        <w:rPr>
          <w:sz w:val="22"/>
          <w:szCs w:val="22"/>
        </w:rPr>
        <w:t xml:space="preserve">With this distinction made, two further questions need answers, and neither is visible in the file itself:</w:t>
      </w:r>
    </w:p>
    <w:p>
      <w:pPr>
        <w:pStyle w:val="ListParagraph"/>
        <w:numPr>
          <w:ilvl w:val="0"/>
          <w:numId w:val="2"/>
        </w:numPr>
        <w:spacing w:after="40" w:before="40" w:line="280"/>
      </w:pPr>
      <w:r>
        <w:rPr>
          <w:sz w:val="22"/>
          <w:szCs w:val="22"/>
        </w:rPr>
        <w:t xml:space="preserve">At what level was the exposure number calculated — per call event, per agreement, per counterparty? This determines what aggregations are valid.</w:t>
      </w:r>
    </w:p>
    <w:p>
      <w:pPr>
        <w:pStyle w:val="ListParagraph"/>
        <w:numPr>
          <w:ilvl w:val="0"/>
          <w:numId w:val="2"/>
        </w:numPr>
        <w:spacing w:after="40" w:before="40" w:line="280"/>
      </w:pPr>
      <w:r>
        <w:rPr>
          <w:sz w:val="22"/>
          <w:szCs w:val="22"/>
        </w:rPr>
        <w:t xml:space="preserve">Can two exposure values be added together — are they in the same currency, on the same date, at compatible levels of granularity?</w:t>
      </w:r>
    </w:p>
    <w:p>
      <w:pPr>
        <w:spacing w:after="80" w:before="80" w:line="300"/>
      </w:pPr>
      <w:r>
        <w:rPr>
          <w:sz w:val="22"/>
          <w:szCs w:val="22"/>
        </w:rPr>
        <w:t xml:space="preserve">These questions are answered by declaring the model. The next sections describe how.</w:t>
      </w:r>
    </w:p>
    <w:p>
      <w:pPr>
        <w:pStyle w:val="Heading2"/>
        <w:spacing w:after="160" w:before="320"/>
      </w:pPr>
      <w:r>
        <w:rPr>
          <w:b/>
          <w:bCs/>
          <w:color w:val="C04A3D"/>
          <w:sz w:val="22"/>
          <w:szCs w:val="22"/>
        </w:rPr>
        <w:t xml:space="preserve">✦ CHANGED  </w:t>
      </w:r>
      <w:r>
        <w:rPr>
          <w:b/>
          <w:bCs/>
          <w:color w:val="2E5C8A"/>
          <w:sz w:val="28"/>
          <w:szCs w:val="28"/>
        </w:rPr>
        <w:t xml:space="preserve">An analytical model</w:t>
      </w:r>
    </w:p>
    <w:p>
      <w:pPr>
        <w:spacing w:after="80" w:before="80" w:line="300"/>
      </w:pPr>
      <w:r>
        <w:rPr>
          <w:sz w:val="22"/>
          <w:szCs w:val="22"/>
        </w:rPr>
        <w:t xml:space="preserve">Each report today answers one question. A developer wrote a query, captured the result, and shipped the file. A new question — even a small variation — requires a new query and a new file. The logic lives in scattered SQL, not in anything shared or governed.</w:t>
      </w:r>
    </w:p>
    <w:p>
      <w:pPr>
        <w:spacing w:after="80" w:before="80" w:line="300"/>
      </w:pPr>
      <w:r>
        <w:rPr>
          <w:sz w:val="22"/>
          <w:szCs w:val="22"/>
        </w:rPr>
        <w:t xml:space="preserve">An analytical model takes a different shape. Instead of producing many one-off outputs, it organises the data into one structure that can answer many questions. The numeric values (facts) sit at the centre, surrounded by the descriptive attributes (dimensions) that consumers slice and group by. The model is built once; consumers query it many ways without further developer involvement. This structure is called a star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Star schema for CCR exposure ]</w:t>
            </w:r>
          </w:p>
          <w:p>
            <w:pPr>
              <w:spacing w:after="40" w:before="40"/>
            </w:pPr>
            <w:r>
              <w:rPr>
                <w:i/>
                <w:iCs/>
                <w:color w:val="5B6B7D"/>
                <w:sz w:val="20"/>
                <w:szCs w:val="20"/>
              </w:rPr>
              <w:t xml:space="preserve">Source: HTML reference doc — Figure 2</w:t>
            </w:r>
          </w:p>
          <w:p>
            <w:pPr>
              <w:spacing w:after="40" w:before="40"/>
            </w:pPr>
            <w:r>
              <w:rPr>
                <w:color w:val="5B6B7D"/>
                <w:sz w:val="20"/>
                <w:szCs w:val="20"/>
              </w:rPr>
              <w:t xml:space="preserve">Central fact_exposure_daily table at the grain of netting set × date, surrounded by dim_counterparty, dim_agreement, dim_netting_set, dim_date, dim_currency, dim_product.</w:t>
            </w:r>
          </w:p>
        </w:tc>
      </w:tr>
    </w:tbl>
    <w:p>
      <w:pPr>
        <w:spacing w:after="80" w:before="80" w:line="300"/>
      </w:pPr>
      <w:r>
        <w:rPr>
          <w:b/>
          <w:bCs/>
          <w:color w:val="C04A3D"/>
          <w:sz w:val="22"/>
          <w:szCs w:val="22"/>
        </w:rPr>
        <w:t xml:space="preserve">✦ </w:t>
      </w:r>
      <w:r>
        <w:rPr>
          <w:sz w:val="22"/>
          <w:szCs w:val="22"/>
        </w:rPr>
        <w:t xml:space="preserve">The full value of the dimensional model emerges when more than one fact shares the same dimensions. The collateral domain has several distinct facts — exposure, margin calls, settlements, disputes, collateral positions — each at its own grain. When all of them point to the same Counterparty, Agreement, and Date dimensions, cross-fact analysis becomes safe. Slicing exposure by counterparty rating and slicing margin calls by counterparty rating produce numbers that combine, because the rating comes from one governed source. This pattern, conformed dimensions, is what makes the dimensional approach pay back across an entire domain rather than only within one report. The full multi-fact view for collateral is in the Worked example — Collateral sub-page.</w:t>
      </w:r>
    </w:p>
    <w:p>
      <w:pPr>
        <w:spacing w:after="40" w:before="40"/>
      </w:pPr>
      <w:r>
        <w:rPr>
          <w:sz w:val="22"/>
          <w:szCs w:val="22"/>
        </w:rPr>
        <w:t xml:space="preserve">🛠 </w:t>
      </w:r>
      <w:r>
        <w:rPr>
          <w:i/>
          <w:iCs/>
          <w:color w:val="2E5C8A"/>
          <w:sz w:val="22"/>
          <w:szCs w:val="22"/>
        </w:rPr>
        <w:t xml:space="preserve">[Tool link to attach in Confluence: Worked example — Collateral (full multi-fact star schema)]</w:t>
      </w:r>
    </w:p>
    <w:p>
      <w:pPr>
        <w:spacing w:after="40" w:before="40"/>
      </w:pPr>
      <w:r>
        <w:rPr>
          <w:sz w:val="22"/>
          <w:szCs w:val="22"/>
        </w:rPr>
        <w:t xml:space="preserve">🛠 </w:t>
      </w:r>
      <w:r>
        <w:rPr>
          <w:i/>
          <w:iCs/>
          <w:color w:val="2E5C8A"/>
          <w:sz w:val="22"/>
          <w:szCs w:val="22"/>
        </w:rPr>
        <w:t xml:space="preserve">[Tool link to attach in Confluence: HTML reference document — Figure 2b (multi-fact conformed dimensions)]</w:t>
      </w:r>
    </w:p>
    <w:p>
      <w:pPr>
        <w:pStyle w:val="Heading3"/>
        <w:spacing w:after="100" w:before="240"/>
      </w:pPr>
      <w:r>
        <w:rPr>
          <w:b/>
          <w:bCs/>
          <w:color w:val="1E2A38"/>
          <w:sz w:val="24"/>
          <w:szCs w:val="24"/>
        </w:rPr>
        <w:t xml:space="preserve">A consideration when combining facts</w:t>
      </w:r>
    </w:p>
    <w:p>
      <w:pPr>
        <w:spacing w:after="80" w:before="80" w:line="300"/>
      </w:pPr>
      <w:r>
        <w:rPr>
          <w:sz w:val="22"/>
          <w:szCs w:val="22"/>
        </w:rPr>
        <w:t xml:space="preserve">There is sometimes a temptation, when bringing several reports into one place, to merge all of them into a single wide table. This should be avoided. The reports are calculated at different levels — a margin call event, a dispute, a settlement instruction, a trade. Combining them into one table forces one level to dominate and the others to be duplicated against it. The result is silent double-counting in any subsequent aggregation.</w:t>
      </w:r>
    </w:p>
    <w:p>
      <w:pPr>
        <w:spacing w:after="80" w:before="80" w:line="300"/>
      </w:pPr>
      <w:r>
        <w:rPr>
          <w:sz w:val="22"/>
          <w:szCs w:val="22"/>
        </w:rPr>
        <w:t xml:space="preserve">The correct approach is to keep each fact separate, at its own declared level (grain), and to relate facts through their shared dimensions. Facts meet at the dimensions — through the same Counterparty, Agreement, and Date — rather than by being combined into a single physical table.</w:t>
      </w:r>
    </w:p>
    <w:p>
      <w:pPr>
        <w:spacing w:after="40" w:before="40"/>
      </w:pPr>
      <w:r>
        <w:rPr>
          <w:sz w:val="22"/>
          <w:szCs w:val="22"/>
        </w:rPr>
        <w:t xml:space="preserve">🛠 </w:t>
      </w:r>
      <w:r>
        <w:rPr>
          <w:i/>
          <w:iCs/>
          <w:color w:val="2E5C8A"/>
          <w:sz w:val="22"/>
          <w:szCs w:val="22"/>
        </w:rPr>
        <w:t xml:space="preserve">[Tool link to attach in Confluence: PowerDesigner model — Dimensional view (Collateral CCR)]</w:t>
      </w:r>
    </w:p>
    <w:p>
      <w:pPr>
        <w:pStyle w:val="Heading2"/>
        <w:spacing w:after="160" w:before="320"/>
      </w:pPr>
      <w:r>
        <w:rPr>
          <w:b/>
          <w:bCs/>
          <w:color w:val="C04A3D"/>
          <w:sz w:val="22"/>
          <w:szCs w:val="22"/>
        </w:rPr>
        <w:t xml:space="preserve">✦ CHANGED  </w:t>
      </w:r>
      <w:r>
        <w:rPr>
          <w:b/>
          <w:bCs/>
          <w:color w:val="2E5C8A"/>
          <w:sz w:val="28"/>
          <w:szCs w:val="28"/>
        </w:rPr>
        <w:t xml:space="preserve">Conformance — defined once, used everywhere</w:t>
      </w:r>
    </w:p>
    <w:p>
      <w:pPr>
        <w:spacing w:after="80" w:before="80" w:line="300"/>
      </w:pPr>
      <w:r>
        <w:rPr>
          <w:sz w:val="22"/>
          <w:szCs w:val="22"/>
        </w:rPr>
        <w:t xml:space="preserve">For an analytical model to be usable across applications, the dimensions that surround the facts must be conformed. Each entity that appears in multiple applications — Counterparty, Agreement, Asset Class, Date — needs a single agreed definition that every application refers to.</w:t>
      </w:r>
    </w:p>
    <w:p>
      <w:pPr>
        <w:spacing w:after="80" w:before="80" w:line="300"/>
      </w:pPr>
      <w:r>
        <w:rPr>
          <w:sz w:val="22"/>
          <w:szCs w:val="22"/>
        </w:rPr>
        <w:t xml:space="preserve">Conformance is not about removing one source in favour of another. It is about making the definition and the mapping rules explicit, so that data from different sources can be combined predictably.</w:t>
      </w:r>
    </w:p>
    <w:p>
      <w:pPr>
        <w:pStyle w:val="Heading3"/>
        <w:spacing w:after="100" w:before="240"/>
      </w:pPr>
      <w:r>
        <w:rPr>
          <w:b/>
          <w:bCs/>
          <w:color w:val="C04A3D"/>
          <w:sz w:val="20"/>
          <w:szCs w:val="20"/>
        </w:rPr>
        <w:t xml:space="preserve">✦ CHANGED  </w:t>
      </w:r>
      <w:r>
        <w:rPr>
          <w:b/>
          <w:bCs/>
          <w:color w:val="1E2A38"/>
          <w:sz w:val="24"/>
          <w:szCs w:val="24"/>
        </w:rPr>
        <w:t xml:space="preserve">Worked example — Asset Class hierarchy</w:t>
      </w:r>
    </w:p>
    <w:p>
      <w:pPr>
        <w:spacing w:after="80" w:before="80" w:line="300"/>
      </w:pPr>
      <w:r>
        <w:rPr>
          <w:sz w:val="22"/>
          <w:szCs w:val="22"/>
        </w:rPr>
        <w:t xml:space="preserve">Asset class is naturally a two-level hierarchy — asset_class at the top, product_type underneath. But different lines of business legitimately use different hierarchy shapes for this domain. One line of business may use a coarse hierarchy with three product types under Bond; another may use a fine-grained hierarchy with twelve; a third may use entirely different top-level asset class buckets that do not even break out Bond as a separate class. Each of these is correct in its context. One is not more right than another — they serve different analytical needs.</w:t>
      </w:r>
    </w:p>
    <w:p>
      <w:pPr>
        <w:spacing w:after="80" w:before="80" w:line="300"/>
      </w:pPr>
      <w:r>
        <w:rPr>
          <w:sz w:val="22"/>
          <w:szCs w:val="22"/>
        </w:rPr>
        <w:t xml:space="preserve">To make the variance concrete, consider the same instrument — a Government of Canada bond, CA135087H236 — appearing across three different lines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1960"/>
      </w:tblGrid>
      <w:tr>
        <w:tc>
          <w:tcPr>
            <w:tcW w:type="dxa" w:w="3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Line of Business view</w:t>
            </w:r>
          </w:p>
        </w:tc>
        <w:tc>
          <w:tcPr>
            <w:tcW w:type="dxa" w:w="20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asset_class</w:t>
            </w:r>
          </w:p>
        </w:tc>
        <w:tc>
          <w:tcPr>
            <w:tcW w:type="dxa" w:w="24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product_type</w:t>
            </w:r>
          </w:p>
        </w:tc>
        <w:tc>
          <w:tcPr>
            <w:tcW w:type="dxa" w:w="196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Hierarchy granularity</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Line of Business A (coarse)</w:t>
            </w:r>
          </w:p>
        </w:tc>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Bond</w:t>
            </w:r>
          </w:p>
        </w:tc>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Sovereign Bond</w:t>
            </w:r>
          </w:p>
        </w:tc>
        <w:tc>
          <w:tcPr>
            <w:tcW w:type="dxa" w:w="1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3 product types under Bond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Line of Business B (fine-grained)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Bond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Sovereign Senior Unsec</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12+ product types under Bond</w:t>
            </w:r>
          </w:p>
        </w:tc>
      </w:tr>
      <w:tr>
        <w:tc>
          <w:tcPr>
            <w:tcW w:type="dxa" w:w="3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Line of Business C (different shape)</w:t>
            </w:r>
          </w:p>
        </w:tc>
        <w:tc>
          <w:tcPr>
            <w:tcW w:type="dxa" w:w="20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Fixed Income</w:t>
            </w:r>
          </w:p>
        </w:tc>
        <w:tc>
          <w:tcPr>
            <w:tcW w:type="dxa" w:w="24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Government Debt</w:t>
            </w:r>
          </w:p>
        </w:tc>
        <w:tc>
          <w:tcPr>
            <w:tcW w:type="dxa" w:w="196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Different top-level cuts entirely</w:t>
            </w:r>
          </w:p>
        </w:tc>
      </w:tr>
    </w:tbl>
    <w:p>
      <w:pPr>
        <w:spacing w:after="80" w:before="80" w:line="300"/>
      </w:pPr>
      <w:r>
        <w:rPr>
          <w:sz w:val="22"/>
          <w:szCs w:val="22"/>
        </w:rPr>
        <w:t xml:space="preserve">Picking one hierarchy and forcing it on everyone loses information that some consumers need. Letting each line of business maintain its own hierarchy in isolation loses the ability to compare across them at all. The conformed answer recognises that the terminology — the column names asset_class, product_type, hierarchy_rule, rule_owner — can be shared even when the values within them are organised into different hierarchy shapes.</w:t>
      </w:r>
    </w:p>
    <w:p>
      <w:pPr>
        <w:spacing w:after="80" w:before="80" w:line="300"/>
      </w:pPr>
      <w:r>
        <w:rPr>
          <w:sz w:val="22"/>
          <w:szCs w:val="22"/>
        </w:rPr>
        <w:t xml:space="preserve">The dimension carries hierarchy_rule as an explicit column with an owner. A single instrument has multiple rows in the dimension — one per hierarchy rule it has been classified under — with the asset class and product type values appropriate to each rule. Consumers filter on hierarchy_rule to bind to the view they need. The dimension does not force a choice between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Asset class hierarchy with rule variants ]</w:t>
            </w:r>
          </w:p>
          <w:p>
            <w:pPr>
              <w:spacing w:after="40" w:before="40"/>
            </w:pPr>
            <w:r>
              <w:rPr>
                <w:i/>
                <w:iCs/>
                <w:color w:val="5B6B7D"/>
                <w:sz w:val="20"/>
                <w:szCs w:val="20"/>
              </w:rPr>
              <w:t xml:space="preserve">Source: HTML reference doc — Figures 2c and 2d</w:t>
            </w:r>
          </w:p>
          <w:p>
            <w:pPr>
              <w:spacing w:after="40" w:before="40"/>
            </w:pPr>
            <w:r>
              <w:rPr>
                <w:color w:val="5B6B7D"/>
                <w:sz w:val="20"/>
                <w:szCs w:val="20"/>
              </w:rPr>
              <w:t xml:space="preserve">Two related figures: Figure 2c shows the same instrument (Government of Canada bond) classified three different ways by three different lines of business — coarse hierarchy, fine-grained hierarchy, different top-level cuts. Figure 2d shows the dim_asset_class table structure: one row per (instrument, hierarchy_rule), with rule_owner and effective_from columns making the binding explicit and point-in-time.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The conformance point. </w:t>
            </w:r>
            <w:r>
              <w:rPr>
                <w:sz w:val="22"/>
                <w:szCs w:val="22"/>
              </w:rPr>
              <w:t xml:space="preserve">What is conformed is the terminology — everyone agrees that asset_class, product_type, hierarchy_rule, and rule_owner are the columns used. What is not forced to conform is the values any line of business places under those columns or the hierarchy shape those values describe. Line of Business A's three-product-type view of Bond is just as valid as Line of Business B's twelve-product-type view. Both live in the dimension; consumers bind to the one they need. Conformance accommodates legitimate variance rather than suppressing it.</w:t>
            </w:r>
          </w:p>
        </w:tc>
      </w:tr>
    </w:tbl>
    <w:p>
      <w:pPr>
        <w:spacing w:after="80" w:before="80" w:line="300"/>
      </w:pPr>
      <w:r>
        <w:rPr>
          <w:b/>
          <w:bCs/>
          <w:color w:val="C04A3D"/>
          <w:sz w:val="22"/>
          <w:szCs w:val="22"/>
        </w:rPr>
        <w:t xml:space="preserve">✦ </w:t>
      </w:r>
      <w:r>
        <w:rPr>
          <w:sz w:val="22"/>
          <w:szCs w:val="22"/>
        </w:rPr>
        <w:t xml:space="preserve">The Asset Class example shows one form of conformance work — hierarchy variance, where the same domain is carved into different hierarchy shapes by different lines of business, and the conformed dimension carries the hierarchy rule explicitly. A second form is structural variance, where one logical entity has several physical sub-types with different attribute sets. Collateral is the natural example: cash, bond, and equity collateral all serve the same logical role but carry different attributes. Conformance accommodates this through a supertype/subtype structure in the model, with the physical implementation (snowflake or denormalised) being a local engineering decision that does not affect the underlying conformance. The detailed treatment, including the supertype/subtype diagrams and the snowflake/denormalised comparison, is in the Conformance sub-page.</w:t>
      </w:r>
    </w:p>
    <w:p>
      <w:pPr>
        <w:spacing w:after="40" w:before="40"/>
      </w:pPr>
      <w:r>
        <w:rPr>
          <w:sz w:val="22"/>
          <w:szCs w:val="22"/>
        </w:rPr>
        <w:t xml:space="preserve">🛠 </w:t>
      </w:r>
      <w:r>
        <w:rPr>
          <w:i/>
          <w:iCs/>
          <w:color w:val="2E5C8A"/>
          <w:sz w:val="22"/>
          <w:szCs w:val="22"/>
        </w:rPr>
        <w:t xml:space="preserve">[Tool link to attach in Confluence: Conformance — the longer view (structural variance example)]</w:t>
      </w:r>
    </w:p>
    <w:p>
      <w:pPr>
        <w:spacing w:after="40" w:before="40"/>
      </w:pPr>
      <w:r>
        <w:rPr>
          <w:sz w:val="22"/>
          <w:szCs w:val="22"/>
        </w:rPr>
        <w:t xml:space="preserve">🛠 </w:t>
      </w:r>
      <w:r>
        <w:rPr>
          <w:i/>
          <w:iCs/>
          <w:color w:val="2E5C8A"/>
          <w:sz w:val="22"/>
          <w:szCs w:val="22"/>
        </w:rPr>
        <w:t xml:space="preserve">[Tool link to attach in Confluence: HTML reference document — Figures 4a, 4b, 4c]</w:t>
      </w:r>
    </w:p>
    <w:p>
      <w:pPr>
        <w:spacing w:after="80" w:before="80" w:line="300"/>
      </w:pPr>
      <w:r>
        <w:rPr>
          <w:sz w:val="22"/>
          <w:szCs w:val="22"/>
        </w:rPr>
        <w:t xml:space="preserve">The same pattern applies to other shared entities where multiple legitimate hierarchies or variants exist: counterparty rating (Moody's vs S&amp;P vs Fitch vs internal); product taxonomy (regulatory vs trading vs ISDA); counterparty type (legal-entity-based vs reporting-line-based); region (geographic vs booking-entity-based). In each case, the conformed dimension carries the rule or variant explicitly, with an owner; consumers select the rule relevant to their purpose. Where an enterprise standard exists, the conformed entity uses it. Where it does not, risk authors the definition.</w:t>
      </w:r>
    </w:p>
    <w:p>
      <w:pPr>
        <w:spacing w:after="40" w:before="40"/>
      </w:pPr>
      <w:r>
        <w:rPr>
          <w:sz w:val="22"/>
          <w:szCs w:val="22"/>
        </w:rPr>
        <w:t xml:space="preserve">🛠 </w:t>
      </w:r>
      <w:r>
        <w:rPr>
          <w:i/>
          <w:iCs/>
          <w:color w:val="2E5C8A"/>
          <w:sz w:val="22"/>
          <w:szCs w:val="22"/>
        </w:rPr>
        <w:t xml:space="preserve">[Tool link to attach in Confluence: Conformance — the longer view (sub-page covering the three forms of conformance failure, with the sourcing contract template)]</w:t>
      </w:r>
    </w:p>
    <w:p>
      <w:pPr>
        <w:pStyle w:val="Heading2"/>
        <w:spacing w:after="160" w:before="320"/>
      </w:pPr>
      <w:r>
        <w:rPr>
          <w:b/>
          <w:bCs/>
          <w:color w:val="C04A3D"/>
          <w:sz w:val="22"/>
          <w:szCs w:val="22"/>
        </w:rPr>
        <w:t xml:space="preserve">✦ CHANGED  </w:t>
      </w:r>
      <w:r>
        <w:rPr>
          <w:b/>
          <w:bCs/>
          <w:color w:val="2E5C8A"/>
          <w:sz w:val="28"/>
          <w:szCs w:val="28"/>
        </w:rPr>
        <w:t xml:space="preserve">Inside the JSON — a domain model waiting to be opened</w:t>
      </w:r>
    </w:p>
    <w:p>
      <w:pPr>
        <w:spacing w:after="80" w:before="80" w:line="300"/>
      </w:pPr>
      <w:r>
        <w:rPr>
          <w:sz w:val="22"/>
          <w:szCs w:val="22"/>
        </w:rPr>
        <w:t xml:space="preserve">The Collateral Domain JSON extract carries the application's data as a nested document — agreements containing trades containing exposures, with margin calls and asset holdings folded in. Each document represents one counterparty's full picture.</w:t>
      </w:r>
    </w:p>
    <w:p>
      <w:pPr>
        <w:spacing w:after="80" w:before="80" w:line="300"/>
      </w:pPr>
      <w:r>
        <w:rPr>
          <w:sz w:val="22"/>
          <w:szCs w:val="22"/>
        </w:rPr>
        <w:t xml:space="preserve">The nesting is convenient for transport but obscures the underlying structure. When the JSON is read branch by branch — each level treated as its own logical entity — a domain model becomes visible. The entities that emerge are the same ones that would be drawn for the collateral domain from first principles.</w:t>
      </w:r>
    </w:p>
    <w:p>
      <w:pPr>
        <w:spacing w:after="80" w:before="80" w:line="300"/>
      </w:pPr>
      <w:r>
        <w:rPr>
          <w:sz w:val="22"/>
          <w:szCs w:val="22"/>
        </w:rPr>
        <w:t xml:space="preserve">The canonical entities revealed by the JSON include Agreement, Trade, Exposure, Margin Call, Asset Holding, Asset Movement, and Dispute. These are the building blocks of a logical model for the collateral domain. They are independent of any particular report or use case, and they describe what exists in the domain rather than how any one report happens to render it.</w:t>
      </w:r>
    </w:p>
    <w:p>
      <w:pPr>
        <w:spacing w:after="80" w:before="80" w:line="300"/>
      </w:pPr>
      <w:r>
        <w:rPr>
          <w:b/>
          <w:bCs/>
          <w:color w:val="C04A3D"/>
          <w:sz w:val="22"/>
          <w:szCs w:val="22"/>
        </w:rPr>
        <w:t xml:space="preserve">✦ </w:t>
      </w:r>
      <w:r>
        <w:rPr>
          <w:sz w:val="22"/>
          <w:szCs w:val="22"/>
        </w:rPr>
        <w:t xml:space="preserve">The JSON tree structure itself, branch by branch, is shown in the HTML reference document — Figure 1b. Each branch corresponds to one of the canonical entities or to a measurement at the agreement-grain. The tree makes the relationship between the raw extract and the canonical model immediately visible: agreements, counterparties, trades, asset holdings, and asset movements are entities; exposure summary and margin calls are measurements that become facts in the analytical model.</w:t>
      </w:r>
    </w:p>
    <w:p>
      <w:pPr>
        <w:spacing w:after="40" w:before="40"/>
      </w:pPr>
      <w:r>
        <w:rPr>
          <w:sz w:val="22"/>
          <w:szCs w:val="22"/>
        </w:rPr>
        <w:t xml:space="preserve">🛠 </w:t>
      </w:r>
      <w:r>
        <w:rPr>
          <w:i/>
          <w:iCs/>
          <w:color w:val="2E5C8A"/>
          <w:sz w:val="22"/>
          <w:szCs w:val="22"/>
        </w:rPr>
        <w:t xml:space="preserve">[Tool link to attach in Confluence: HTML reference document — Figure 1b (JSON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CMOS collateral JSON tree, branch by branch ]</w:t>
            </w:r>
          </w:p>
          <w:p>
            <w:pPr>
              <w:spacing w:after="40" w:before="40"/>
            </w:pPr>
            <w:r>
              <w:rPr>
                <w:i/>
                <w:iCs/>
                <w:color w:val="5B6B7D"/>
                <w:sz w:val="20"/>
                <w:szCs w:val="20"/>
              </w:rPr>
              <w:t xml:space="preserve">Source: HTML reference doc — Figure 1b</w:t>
            </w:r>
          </w:p>
          <w:p>
            <w:pPr>
              <w:spacing w:after="40" w:before="40"/>
            </w:pPr>
            <w:r>
              <w:rPr>
                <w:color w:val="5B6B7D"/>
                <w:sz w:val="20"/>
                <w:szCs w:val="20"/>
              </w:rPr>
              <w:t xml:space="preserve">The nested JSON tree from the CMOS collateral extract, displayed in colour-coded monospace. Single-panel view with inline comments alongside each branch indicating its role: which branches are canonical entities (agreement, counterparties, tradeExposureList, assetHoldings, assetMovements) and which are measurements (exposureSummary with IM/VM totals, marginCalls). The annotation alongside each branch is what shows the JSON-to-canonical mapping; there is no separate right-hand entity diagram in this figure.</w:t>
            </w:r>
          </w:p>
        </w:tc>
      </w:tr>
    </w:tbl>
    <w:p>
      <w:pPr>
        <w:spacing w:after="40" w:before="40"/>
      </w:pPr>
      <w:r>
        <w:rPr>
          <w:sz w:val="22"/>
          <w:szCs w:val="22"/>
        </w:rPr>
        <w:t xml:space="preserve">🛠 </w:t>
      </w:r>
      <w:r>
        <w:rPr>
          <w:i/>
          <w:iCs/>
          <w:color w:val="2E5C8A"/>
          <w:sz w:val="22"/>
          <w:szCs w:val="22"/>
        </w:rPr>
        <w:t xml:space="preserve">[Tool link to attach in Confluence: Collateral Domain — JSON (the source extract for this domain model)]</w:t>
      </w:r>
    </w:p>
    <w:p>
      <w:pPr>
        <w:spacing w:after="40" w:before="40"/>
      </w:pPr>
      <w:r>
        <w:rPr>
          <w:sz w:val="22"/>
          <w:szCs w:val="22"/>
        </w:rPr>
        <w:t xml:space="preserve">🛠 </w:t>
      </w:r>
      <w:r>
        <w:rPr>
          <w:i/>
          <w:iCs/>
          <w:color w:val="2E5C8A"/>
          <w:sz w:val="22"/>
          <w:szCs w:val="22"/>
        </w:rPr>
        <w:t xml:space="preserve">[Tool link to attach in Confluence: PowerDesigner model — Canonical view (Collateral domain)]</w:t>
      </w:r>
    </w:p>
    <w:p>
      <w:pPr>
        <w:pStyle w:val="Heading2"/>
        <w:spacing w:after="160" w:before="320"/>
      </w:pPr>
      <w:r>
        <w:rPr>
          <w:b/>
          <w:bCs/>
          <w:color w:val="C04A3D"/>
          <w:sz w:val="22"/>
          <w:szCs w:val="22"/>
        </w:rPr>
        <w:t xml:space="preserve">✦ CHANGED  </w:t>
      </w:r>
      <w:r>
        <w:rPr>
          <w:b/>
          <w:bCs/>
          <w:color w:val="2E5C8A"/>
          <w:sz w:val="28"/>
          <w:szCs w:val="28"/>
        </w:rPr>
        <w:t xml:space="preserve">Three models, connected — what the report does not carry</w:t>
      </w:r>
    </w:p>
    <w:p>
      <w:pPr>
        <w:spacing w:after="80" w:before="80" w:line="300"/>
      </w:pPr>
      <w:r>
        <w:rPr>
          <w:sz w:val="22"/>
          <w:szCs w:val="22"/>
        </w:rPr>
        <w:t xml:space="preserve">A report is a precalculated answer to a specific business question. The consumer sees a number — exposure for a counterparty, today's largest disputes, settled collateral by currency — and that number looks like the whole picture. It is not. Several layers of context that the report needs are not carried in the report itself — they live in artefacts the report depends on but does not contain:</w:t>
      </w:r>
    </w:p>
    <w:p>
      <w:pPr>
        <w:pStyle w:val="ListParagraph"/>
        <w:numPr>
          <w:ilvl w:val="0"/>
          <w:numId w:val="2"/>
        </w:numPr>
        <w:spacing w:after="40" w:before="40" w:line="280"/>
      </w:pPr>
      <w:r>
        <w:rPr>
          <w:sz w:val="22"/>
          <w:szCs w:val="22"/>
        </w:rPr>
        <w:t xml:space="preserve">Which entities were involved — which counterparties, agreements, trades, assets — and how they relate to each other.</w:t>
      </w:r>
    </w:p>
    <w:p>
      <w:pPr>
        <w:pStyle w:val="ListParagraph"/>
        <w:numPr>
          <w:ilvl w:val="0"/>
          <w:numId w:val="2"/>
        </w:numPr>
        <w:spacing w:after="40" w:before="40" w:line="280"/>
      </w:pPr>
      <w:r>
        <w:rPr>
          <w:sz w:val="22"/>
          <w:szCs w:val="22"/>
        </w:rPr>
        <w:t xml:space="preserve">What filters the application applied — what was included, what was excluded, against which classification.</w:t>
      </w:r>
    </w:p>
    <w:p>
      <w:pPr>
        <w:pStyle w:val="ListParagraph"/>
        <w:numPr>
          <w:ilvl w:val="0"/>
          <w:numId w:val="2"/>
        </w:numPr>
        <w:spacing w:after="40" w:before="40" w:line="280"/>
      </w:pPr>
      <w:r>
        <w:rPr>
          <w:sz w:val="22"/>
          <w:szCs w:val="22"/>
        </w:rPr>
        <w:t xml:space="preserve">What business rules transformed the raw data — netting, haircuts, eligibility checks, currency conversions, point-in-time selections.</w:t>
      </w:r>
    </w:p>
    <w:p>
      <w:pPr>
        <w:pStyle w:val="ListParagraph"/>
        <w:numPr>
          <w:ilvl w:val="0"/>
          <w:numId w:val="2"/>
        </w:numPr>
        <w:spacing w:after="40" w:before="40" w:line="280"/>
      </w:pPr>
      <w:r>
        <w:rPr>
          <w:sz w:val="22"/>
          <w:szCs w:val="22"/>
        </w:rPr>
        <w:t xml:space="preserve">At what grain the calculation operates — per trade, per agreement, per counterparty, per snapshot date — and therefore what aggregations are valid downstream.</w:t>
      </w:r>
    </w:p>
    <w:p>
      <w:pPr>
        <w:pStyle w:val="ListParagraph"/>
        <w:numPr>
          <w:ilvl w:val="0"/>
          <w:numId w:val="2"/>
        </w:numPr>
        <w:spacing w:after="40" w:before="40" w:line="280"/>
      </w:pPr>
      <w:r>
        <w:rPr>
          <w:sz w:val="22"/>
          <w:szCs w:val="22"/>
        </w:rPr>
        <w:t xml:space="preserve">Which measures the application created itself — calculated values that do not exist in any upstream source.</w:t>
      </w:r>
    </w:p>
    <w:p>
      <w:pPr>
        <w:spacing w:after="80" w:before="80" w:line="300"/>
      </w:pPr>
      <w:r>
        <w:rPr>
          <w:sz w:val="22"/>
          <w:szCs w:val="22"/>
        </w:rPr>
        <w:t xml:space="preserve">All of this context is not in the report. The consumer sees the number; the context that gives it meaning lives elsewhere. Two reports that look similar — same column headers, same shape — can carry numbers that mean entirely different things, and the consumer has no way to tell from the reports alone.</w:t>
      </w:r>
    </w:p>
    <w:p>
      <w:pPr>
        <w:spacing w:after="80" w:before="80" w:line="300"/>
      </w:pPr>
      <w:r>
        <w:rPr>
          <w:sz w:val="22"/>
          <w:szCs w:val="22"/>
        </w:rPr>
        <w:t xml:space="preserve">The three connected models supply that missing context. They are not derived from the report; the report is incomplete without them. The direction matters: meaning flows up from the three models to the report, not down from the report to the models. Each model supplies one specific kind of context that the report needs but does not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The report and the three models behind it ]</w:t>
            </w:r>
          </w:p>
          <w:p>
            <w:pPr>
              <w:spacing w:after="40" w:before="40"/>
            </w:pPr>
            <w:r>
              <w:rPr>
                <w:i/>
                <w:iCs/>
                <w:color w:val="5B6B7D"/>
                <w:sz w:val="20"/>
                <w:szCs w:val="20"/>
              </w:rPr>
              <w:t xml:space="preserve">Source: HTML reference doc — Figure 1d</w:t>
            </w:r>
          </w:p>
          <w:p>
            <w:pPr>
              <w:spacing w:after="40" w:before="40"/>
            </w:pPr>
            <w:r>
              <w:rPr>
                <w:color w:val="5B6B7D"/>
                <w:sz w:val="20"/>
                <w:szCs w:val="20"/>
              </w:rPr>
              <w:t xml:space="preserve">The report on top, large box, with bullets listing what is not shown — the context the report needs but does not carry: which entities and relationships, at what grain, which conformed dimensions and what aggregations are valid, what the published feed guarantees. Label inside the report box: INCOMPLETE without the three models below. Three model boxes below — Domain Model (for the LOB), Dimensional Model (the analytical shape), Data Contract (the publishing promise) — each with a short description and ownership annotation. Arrows go upward from each model to the corresponding bullet on the report, labelled: supplies the entities and relationships; supplies the grain and aggregation rules; supplies the publishing promise. The visual makes the directionality unmistakable: meaning flows up from the models to the report, not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80"/>
        <w:gridCol w:w="2980"/>
      </w:tblGrid>
      <w:tr>
        <w:tc>
          <w:tcPr>
            <w:tcW w:type="dxa" w:w="220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Model</w:t>
            </w:r>
          </w:p>
        </w:tc>
        <w:tc>
          <w:tcPr>
            <w:tcW w:type="dxa" w:w="41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makes explicit</w:t>
            </w:r>
          </w:p>
        </w:tc>
        <w:tc>
          <w:tcPr>
            <w:tcW w:type="dxa" w:w="29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Where it lives</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Domain Model (for the LOB)</w:t>
            </w:r>
          </w:p>
        </w:tc>
        <w:tc>
          <w:tcPr>
            <w:tcW w:type="dxa" w:w="41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entities exist in risk's world, and how they relate. The semantic foundation — same counterparty, same agreement, same trade, regardless of which app produced the report.</w:t>
            </w:r>
          </w:p>
        </w:tc>
        <w:tc>
          <w:tcPr>
            <w:tcW w:type="dxa" w:w="29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Built once by risk, aligned to the enterprise definitions above it. Lives in PowerDesigner / Erwin / the canonical reference.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Dimensional Model</w:t>
            </w:r>
          </w:p>
        </w:tc>
        <w:tc>
          <w:tcPr>
            <w:tcW w:type="dxa" w:w="41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How the entities and relationships are organised for analytical querying. Facts at declared grains; conformed dimensions for slicing. Makes the analytical shape consistent across reports.</w:t>
            </w:r>
          </w:p>
        </w:tc>
        <w:tc>
          <w:tcPr>
            <w:tcW w:type="dxa" w:w="29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The analytical schema in Databricks. What BI tools, dashboards, and AI consumers actually query.</w:t>
            </w:r>
          </w:p>
        </w:tc>
      </w:tr>
      <w:tr>
        <w:tc>
          <w:tcPr>
            <w:tcW w:type="dxa" w:w="220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Data Contract</w:t>
            </w:r>
          </w:p>
        </w:tc>
        <w:tc>
          <w:tcPr>
            <w:tcW w:type="dxa" w:w="41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What the application is publishing, on what schedule, against which entities, with what guarantees. Makes the consumer-facing promise explicit. The artefact a consumer binds to.</w:t>
            </w:r>
          </w:p>
        </w:tc>
        <w:tc>
          <w:tcPr>
            <w:tcW w:type="dxa" w:w="29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Published alongside the data product. Versioned. Referenced via the catalog.</w:t>
            </w:r>
          </w:p>
        </w:tc>
      </w:tr>
    </w:tbl>
    <w:p>
      <w:pPr>
        <w:spacing w:after="80" w:before="80" w:line="300"/>
      </w:pPr>
      <w:r>
        <w:rPr>
          <w:sz w:val="22"/>
          <w:szCs w:val="22"/>
        </w:rPr>
        <w:t xml:space="preserve">Together, the three models answer the questions the report by itself cannot:</w:t>
      </w:r>
    </w:p>
    <w:p>
      <w:pPr>
        <w:pStyle w:val="ListParagraph"/>
        <w:numPr>
          <w:ilvl w:val="0"/>
          <w:numId w:val="2"/>
        </w:numPr>
        <w:spacing w:after="40" w:before="40" w:line="280"/>
      </w:pPr>
      <w:r>
        <w:rPr>
          <w:b/>
          <w:bCs/>
          <w:sz w:val="22"/>
          <w:szCs w:val="22"/>
        </w:rPr>
        <w:t xml:space="preserve">What does this number mean? </w:t>
      </w:r>
      <w:r>
        <w:rPr>
          <w:sz w:val="22"/>
          <w:szCs w:val="22"/>
        </w:rPr>
        <w:t xml:space="preserve">Answered by the Domain Model — which entities and relationships produced it.</w:t>
      </w:r>
    </w:p>
    <w:p>
      <w:pPr>
        <w:pStyle w:val="ListParagraph"/>
        <w:numPr>
          <w:ilvl w:val="0"/>
          <w:numId w:val="2"/>
        </w:numPr>
        <w:spacing w:after="40" w:before="40" w:line="280"/>
      </w:pPr>
      <w:r>
        <w:rPr>
          <w:b/>
          <w:bCs/>
          <w:sz w:val="22"/>
          <w:szCs w:val="22"/>
        </w:rPr>
        <w:t xml:space="preserve">Can I combine this number with another? </w:t>
      </w:r>
      <w:r>
        <w:rPr>
          <w:sz w:val="22"/>
          <w:szCs w:val="22"/>
        </w:rPr>
        <w:t xml:space="preserve">Answered by the Dimensional Model — at what grain it was calculated, against which conformed dimensions.</w:t>
      </w:r>
    </w:p>
    <w:p>
      <w:pPr>
        <w:pStyle w:val="ListParagraph"/>
        <w:numPr>
          <w:ilvl w:val="0"/>
          <w:numId w:val="2"/>
        </w:numPr>
        <w:spacing w:after="40" w:before="40" w:line="280"/>
      </w:pPr>
      <w:r>
        <w:rPr>
          <w:b/>
          <w:bCs/>
          <w:sz w:val="22"/>
          <w:szCs w:val="22"/>
        </w:rPr>
        <w:t xml:space="preserve">What can I rely on from this published feed? </w:t>
      </w:r>
      <w:r>
        <w:rPr>
          <w:sz w:val="22"/>
          <w:szCs w:val="22"/>
        </w:rPr>
        <w:t xml:space="preserve">Answered by the Data Contract — what is promised, on what schedule, with what guarantees.</w:t>
      </w:r>
    </w:p>
    <w:p>
      <w:pPr>
        <w:spacing w:after="80" w:before="80" w:line="300"/>
      </w:pPr>
      <w:r>
        <w:rPr>
          <w:sz w:val="22"/>
          <w:szCs w:val="22"/>
        </w:rPr>
        <w:t xml:space="preserve">This is how meaning is preserved. The report stays as the answer to a specific business question. The three models behind it are what make that answer durable, comparable, and auditable — because they supply, at three different levels, the context the report needs but does not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The reframing in one line: </w:t>
            </w:r>
            <w:r>
              <w:rPr>
                <w:sz w:val="22"/>
                <w:szCs w:val="22"/>
              </w:rPr>
              <w:t xml:space="preserve">the report is the answer; the three connected models are what give the answer meaning. Without them, the report is a number floating without context. With them, the number is recoverable, comparable, and auditable across applications and over time.</w:t>
            </w:r>
          </w:p>
        </w:tc>
      </w:tr>
    </w:tbl>
    <w:p>
      <w:pPr>
        <w:spacing w:after="40" w:before="40"/>
      </w:pPr>
      <w:r>
        <w:rPr>
          <w:sz w:val="22"/>
          <w:szCs w:val="22"/>
        </w:rPr>
        <w:t xml:space="preserve">🛠 </w:t>
      </w:r>
      <w:r>
        <w:rPr>
          <w:i/>
          <w:iCs/>
          <w:color w:val="2E5C8A"/>
          <w:sz w:val="22"/>
          <w:szCs w:val="22"/>
        </w:rPr>
        <w:t xml:space="preserve">[Tool link to attach in Confluence: HTML reference document — Figure 1d (the report and the three models behind it)]</w:t>
      </w:r>
    </w:p>
    <w:p>
      <w:pPr>
        <w:spacing w:after="40" w:before="40"/>
      </w:pPr>
      <w:r>
        <w:rPr>
          <w:sz w:val="22"/>
          <w:szCs w:val="22"/>
        </w:rPr>
        <w:t xml:space="preserve">🛠 </w:t>
      </w:r>
      <w:r>
        <w:rPr>
          <w:i/>
          <w:iCs/>
          <w:color w:val="2E5C8A"/>
          <w:sz w:val="22"/>
          <w:szCs w:val="22"/>
        </w:rPr>
        <w:t xml:space="preserve">[Tool link to attach in Confluence: PowerDesigner model — Domain view]</w:t>
      </w:r>
    </w:p>
    <w:p>
      <w:pPr>
        <w:spacing w:after="40" w:before="40"/>
      </w:pPr>
      <w:r>
        <w:rPr>
          <w:sz w:val="22"/>
          <w:szCs w:val="22"/>
        </w:rPr>
        <w:t xml:space="preserve">🛠 </w:t>
      </w:r>
      <w:r>
        <w:rPr>
          <w:i/>
          <w:iCs/>
          <w:color w:val="2E5C8A"/>
          <w:sz w:val="22"/>
          <w:szCs w:val="22"/>
        </w:rPr>
        <w:t xml:space="preserve">[Tool link to attach in Confluence: PowerDesigner model — Dimensional view]</w:t>
      </w:r>
    </w:p>
    <w:p>
      <w:pPr>
        <w:spacing w:after="40" w:before="40"/>
      </w:pPr>
      <w:r>
        <w:rPr>
          <w:sz w:val="22"/>
          <w:szCs w:val="22"/>
        </w:rPr>
        <w:t xml:space="preserve">🛠 </w:t>
      </w:r>
      <w:r>
        <w:rPr>
          <w:i/>
          <w:iCs/>
          <w:color w:val="2E5C8A"/>
          <w:sz w:val="22"/>
          <w:szCs w:val="22"/>
        </w:rPr>
        <w:t xml:space="preserve">[Tool link to attach in Confluence: Data contract specification — current version]</w:t>
      </w:r>
    </w:p>
    <w:p>
      <w:pPr>
        <w:pStyle w:val="Heading2"/>
        <w:spacing w:after="160" w:before="320"/>
      </w:pPr>
      <w:r>
        <w:rPr>
          <w:b/>
          <w:bCs/>
          <w:color w:val="C04A3D"/>
          <w:sz w:val="22"/>
          <w:szCs w:val="22"/>
        </w:rPr>
        <w:t xml:space="preserve">✦ CHANGED  </w:t>
      </w:r>
      <w:r>
        <w:rPr>
          <w:b/>
          <w:bCs/>
          <w:color w:val="2E5C8A"/>
          <w:sz w:val="28"/>
          <w:szCs w:val="28"/>
        </w:rPr>
        <w:t xml:space="preserve">Where this leads</w:t>
      </w:r>
    </w:p>
    <w:p>
      <w:pPr>
        <w:spacing w:after="80" w:before="80" w:line="300"/>
      </w:pPr>
      <w:r>
        <w:rPr>
          <w:sz w:val="22"/>
          <w:szCs w:val="22"/>
        </w:rPr>
        <w:t xml:space="preserve">The modelling work described above is one of four parallel threads that together produce trustworthy, discoverable, self-servable risk data. Each thread addresses a distinct gap; together they form the direction of travel for risk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The four threads ]</w:t>
            </w:r>
          </w:p>
          <w:p>
            <w:pPr>
              <w:spacing w:after="40" w:before="40"/>
            </w:pPr>
            <w:r>
              <w:rPr>
                <w:i/>
                <w:iCs/>
                <w:color w:val="5B6B7D"/>
                <w:sz w:val="20"/>
                <w:szCs w:val="20"/>
              </w:rPr>
              <w:t xml:space="preserve">Source: Deck slide 11</w:t>
            </w:r>
          </w:p>
          <w:p>
            <w:pPr>
              <w:spacing w:after="40" w:before="40"/>
            </w:pPr>
            <w:r>
              <w:rPr>
                <w:color w:val="5B6B7D"/>
                <w:sz w:val="20"/>
                <w:szCs w:val="20"/>
              </w:rPr>
              <w:t xml:space="preserve">Four labelled threads: 1) Physical integration — consolidating data into one governed platform; 2) Structural conformance — making entities consistent across applications; 3) Modelling work — the dimensional and canonical models; 4) From query to model — replacing one-off queries with a queryable model. All four converge on trustworthy risk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Thread</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addresses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Physical integration</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Bringing application data into one governed analytics platform — searchable, discoverable.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Structural conformance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Resolving how entities are represented across systems. Conformed dimensions, mapping rules attached to entity definitions.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Modelling work</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dimensional and canonical models described on this page. Documented structure for analytics and for the enterprise data layer.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From query to model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Replacing one-off SQL queries with a queryable model. Developer time goes into the model; the business queries it directly.</w:t>
            </w:r>
          </w:p>
        </w:tc>
      </w:tr>
    </w:tbl>
    <w:p>
      <w:pPr>
        <w:spacing w:after="80" w:before="80" w:line="300"/>
      </w:pPr>
      <w:r>
        <w:rPr>
          <w:sz w:val="22"/>
          <w:szCs w:val="22"/>
        </w:rPr>
        <w:t xml:space="preserve">All four threads converge on the same direction — risk data that is consistent across applications, queryable without developer mediation, and trustworthy enough for cross-application analytics.</w:t>
      </w:r>
    </w:p>
    <w:p>
      <w:pPr>
        <w:spacing w:after="80" w:before="80" w:line="300"/>
      </w:pPr>
      <w:r>
        <w:rPr>
          <w:b/>
          <w:bCs/>
          <w:color w:val="C04A3D"/>
          <w:sz w:val="22"/>
          <w:szCs w:val="22"/>
        </w:rPr>
        <w:t xml:space="preserve">✦ </w:t>
      </w:r>
      <w:r>
        <w:rPr>
          <w:sz w:val="22"/>
          <w:szCs w:val="22"/>
        </w:rPr>
        <w:t xml:space="preserve">The modelling progression described on this page — canonical entities, dimensional model, semantic layer, conformance — applies generally across risk reference domains, not only to collateral. The same three artefacts get built (logical model, star schema, contract) in roughly the same order, with conformance as the connective tissue. The two worked-example sub-pages take the framework through to completion in two different domains: collateral, and credit curves. The specific entities differ; the modelling moves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Headline: </w:t>
            </w:r>
            <w:r>
              <w:rPr>
                <w:sz w:val="22"/>
                <w:szCs w:val="22"/>
              </w:rPr>
              <w:t xml:space="preserve">the work described on this page is incremental, not a rebuild. The two new models — dimensional and canonical — are built from data the applications already produce. The remaining work is to give that data structure, conformance, and contracts so it can be relied on by everyone downstream.</w:t>
            </w:r>
          </w:p>
        </w:tc>
      </w:tr>
    </w:tbl>
    <w:p>
      <w:pPr>
        <w:pStyle w:val="Heading2"/>
        <w:spacing w:after="160" w:before="320"/>
      </w:pPr>
      <w:r>
        <w:rPr>
          <w:b/>
          <w:bCs/>
          <w:color w:val="C04A3D"/>
          <w:sz w:val="22"/>
          <w:szCs w:val="22"/>
        </w:rPr>
        <w:t xml:space="preserve">✦ CHANGED  </w:t>
      </w:r>
      <w:r>
        <w:rPr>
          <w:b/>
          <w:bCs/>
          <w:color w:val="2E5C8A"/>
          <w:sz w:val="28"/>
          <w:szCs w:val="28"/>
        </w:rPr>
        <w:t xml:space="preserve">Related pages</w:t>
      </w:r>
    </w:p>
    <w:p>
      <w:pPr>
        <w:spacing w:after="80" w:before="80" w:line="300"/>
      </w:pPr>
      <w:r>
        <w:rPr>
          <w:sz w:val="22"/>
          <w:szCs w:val="22"/>
        </w:rPr>
        <w:t xml:space="preserve">The following sub-pages cover the deeper topics referenced above:</w:t>
      </w:r>
    </w:p>
    <w:p>
      <w:pPr>
        <w:spacing w:after="40" w:before="40"/>
      </w:pPr>
      <w:r>
        <w:rPr>
          <w:sz w:val="22"/>
          <w:szCs w:val="22"/>
        </w:rPr>
        <w:t xml:space="preserve">🛠 </w:t>
      </w:r>
      <w:r>
        <w:rPr>
          <w:i/>
          <w:iCs/>
          <w:color w:val="2E5C8A"/>
          <w:sz w:val="22"/>
          <w:szCs w:val="22"/>
        </w:rPr>
        <w:t xml:space="preserve">[Tool link to attach in Confluence: Conformance — the longer view]</w:t>
      </w:r>
    </w:p>
    <w:p>
      <w:pPr>
        <w:spacing w:after="80" w:before="80" w:line="300"/>
      </w:pPr>
      <w:r>
        <w:rPr>
          <w:sz w:val="22"/>
          <w:szCs w:val="22"/>
        </w:rPr>
        <w:t xml:space="preserve">The three forms of conformance failure (structural, content, encoded-content), worked examples across risk applications, the structural variance example using collateral types, and the sourcing contract template each application is asked to declare.</w:t>
      </w:r>
    </w:p>
    <w:p>
      <w:pPr>
        <w:spacing w:after="40" w:before="40"/>
      </w:pPr>
      <w:r>
        <w:rPr>
          <w:sz w:val="22"/>
          <w:szCs w:val="22"/>
        </w:rPr>
        <w:t xml:space="preserve">🛠 </w:t>
      </w:r>
      <w:r>
        <w:rPr>
          <w:i/>
          <w:iCs/>
          <w:color w:val="2E5C8A"/>
          <w:sz w:val="22"/>
          <w:szCs w:val="22"/>
        </w:rPr>
        <w:t xml:space="preserve">[Tool link to attach in Confluence: How the data contract gets built]</w:t>
      </w:r>
    </w:p>
    <w:p>
      <w:pPr>
        <w:spacing w:after="80" w:before="80" w:line="300"/>
      </w:pPr>
      <w:r>
        <w:rPr>
          <w:sz w:val="22"/>
          <w:szCs w:val="22"/>
        </w:rPr>
        <w:t xml:space="preserve">How the data contract is composed from artefacts already in place — dimensional model, conformed entities, naming convention, Unity Catalog tags, observed lineage — rather than authored from scratch. Includes a step-by-step walkthrough of how the CMOS CSV files become published data products.</w:t>
      </w:r>
    </w:p>
    <w:p>
      <w:pPr>
        <w:spacing w:after="40" w:before="40"/>
      </w:pPr>
      <w:r>
        <w:rPr>
          <w:sz w:val="22"/>
          <w:szCs w:val="22"/>
        </w:rPr>
        <w:t xml:space="preserve">🛠 </w:t>
      </w:r>
      <w:r>
        <w:rPr>
          <w:i/>
          <w:iCs/>
          <w:color w:val="2E5C8A"/>
          <w:sz w:val="22"/>
          <w:szCs w:val="22"/>
        </w:rPr>
        <w:t xml:space="preserve">[Tool link to attach in Confluence: From query-based to model-based consumption]</w:t>
      </w:r>
    </w:p>
    <w:p>
      <w:pPr>
        <w:spacing w:after="80" w:before="80" w:line="300"/>
      </w:pPr>
      <w:r>
        <w:rPr>
          <w:sz w:val="22"/>
          <w:szCs w:val="22"/>
        </w:rPr>
        <w:t xml:space="preserve">The shift from developer-written one-off queries to a queryable model. The semantic layer as a concept; Databricks Metric Views as the current implementation direction.</w:t>
      </w:r>
    </w:p>
    <w:p>
      <w:pPr>
        <w:spacing w:after="40" w:before="40"/>
      </w:pPr>
      <w:r>
        <w:rPr>
          <w:sz w:val="22"/>
          <w:szCs w:val="22"/>
        </w:rPr>
        <w:t xml:space="preserve">🛠 </w:t>
      </w:r>
      <w:r>
        <w:rPr>
          <w:i/>
          <w:iCs/>
          <w:color w:val="2E5C8A"/>
          <w:sz w:val="22"/>
          <w:szCs w:val="22"/>
        </w:rPr>
        <w:t xml:space="preserve">[Tool link to attach in Confluence: A working strategy for starting]</w:t>
      </w:r>
    </w:p>
    <w:p>
      <w:pPr>
        <w:spacing w:after="80" w:before="80" w:line="300"/>
      </w:pPr>
      <w:r>
        <w:rPr>
          <w:sz w:val="22"/>
          <w:szCs w:val="22"/>
        </w:rPr>
        <w:t xml:space="preserve">The two-wave approach for sequencing the conformance work across risk product groups — within-group first, then across groups, with the enterprise canonical work proceeding in parallel.</w:t>
      </w:r>
    </w:p>
    <w:p>
      <w:pPr>
        <w:pStyle w:val="Heading3"/>
        <w:spacing w:after="100" w:before="240"/>
      </w:pPr>
      <w:r>
        <w:rPr>
          <w:b/>
          <w:bCs/>
          <w:color w:val="C04A3D"/>
          <w:sz w:val="20"/>
          <w:szCs w:val="20"/>
        </w:rPr>
        <w:t xml:space="preserve">✦ NEW  </w:t>
      </w:r>
      <w:r>
        <w:rPr>
          <w:b/>
          <w:bCs/>
          <w:color w:val="1E2A38"/>
          <w:sz w:val="24"/>
          <w:szCs w:val="24"/>
        </w:rPr>
        <w:t xml:space="preserve">Worked examples</w:t>
      </w:r>
    </w:p>
    <w:p>
      <w:pPr>
        <w:spacing w:after="80" w:before="80" w:line="300"/>
      </w:pPr>
      <w:r>
        <w:rPr>
          <w:sz w:val="22"/>
          <w:szCs w:val="22"/>
        </w:rPr>
        <w:t xml:space="preserve">Two sub-pages take the modelling progression through to completion in two different domains. Each shows the logical domain model, the analytical star schema, and the OBT alternative with its problems clearly laid out. They demonstrate that the framework on this page generalises across risk reference domains.</w:t>
      </w:r>
    </w:p>
    <w:p>
      <w:pPr>
        <w:spacing w:after="40" w:before="40"/>
      </w:pPr>
      <w:r>
        <w:rPr>
          <w:sz w:val="22"/>
          <w:szCs w:val="22"/>
        </w:rPr>
        <w:t xml:space="preserve">🛠 </w:t>
      </w:r>
      <w:r>
        <w:rPr>
          <w:i/>
          <w:iCs/>
          <w:color w:val="2E5C8A"/>
          <w:sz w:val="22"/>
          <w:szCs w:val="22"/>
        </w:rPr>
        <w:t xml:space="preserve">[Tool link to attach in Confluence: Worked example — Collateral]</w:t>
      </w:r>
    </w:p>
    <w:p>
      <w:pPr>
        <w:spacing w:after="80" w:before="80" w:line="300"/>
      </w:pPr>
      <w:r>
        <w:rPr>
          <w:sz w:val="22"/>
          <w:szCs w:val="22"/>
        </w:rPr>
        <w:t xml:space="preserve">Full domain model and star schema for the collateral domain, including the supertype/subtype structure for collateral types, multi-fact star schema sharing conformed dimensions, and the OBT alternative with its problems clearly laid out.</w:t>
      </w:r>
    </w:p>
    <w:p>
      <w:pPr>
        <w:spacing w:after="40" w:before="40"/>
      </w:pPr>
      <w:r>
        <w:rPr>
          <w:sz w:val="22"/>
          <w:szCs w:val="22"/>
        </w:rPr>
        <w:t xml:space="preserve">🛠 </w:t>
      </w:r>
      <w:r>
        <w:rPr>
          <w:i/>
          <w:iCs/>
          <w:color w:val="2E5C8A"/>
          <w:sz w:val="22"/>
          <w:szCs w:val="22"/>
        </w:rPr>
        <w:t xml:space="preserve">[Tool link to attach in Confluence: Worked example — Credit Curves]</w:t>
      </w:r>
    </w:p>
    <w:p>
      <w:pPr>
        <w:spacing w:after="80" w:before="80" w:line="300"/>
      </w:pPr>
      <w:r>
        <w:rPr>
          <w:sz w:val="22"/>
          <w:szCs w:val="22"/>
        </w:rPr>
        <w:t xml:space="preserve">Full domain model and star schema for the credit curve domain, including point-in-time mapping handling, two-fact star schema, and the OBT alternative covering the point-in-time and stewardship problems specific to reference data domains.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2026-05-24T20:13:13.869Z</dcterms:created>
  <dcterms:modified xsi:type="dcterms:W3CDTF">2026-05-24T20:13:13.869Z</dcterms:modified>
</cp:coreProperties>
</file>

<file path=docProps/custom.xml><?xml version="1.0" encoding="utf-8"?>
<Properties xmlns="http://schemas.openxmlformats.org/officeDocument/2006/custom-properties" xmlns:vt="http://schemas.openxmlformats.org/officeDocument/2006/docPropsVTypes"/>
</file>