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F2D36"/>
          <w:sz w:val="48"/>
          <w:szCs w:val="48"/>
        </w:rPr>
        <w:t xml:space="preserve">Stress PFE Counterparty Tearsheet</w:t>
      </w:r>
    </w:p>
    <w:p>
      <w:pPr>
        <w:spacing w:after="60"/>
      </w:pPr>
      <w:r>
        <w:rPr>
          <w:b/>
          <w:bCs/>
          <w:color w:val="0B7A4B"/>
          <w:sz w:val="36"/>
          <w:szCs w:val="36"/>
        </w:rPr>
        <w:t xml:space="preserve">End-to-End Build Notes</w:t>
      </w:r>
    </w:p>
    <w:p>
      <w:pPr>
        <w:spacing w:after="240"/>
      </w:pPr>
      <w:r>
        <w:rPr>
          <w:i/>
          <w:iCs/>
          <w:color w:val="6B7A82"/>
          <w:sz w:val="22"/>
          <w:szCs w:val="22"/>
        </w:rPr>
        <w:t xml:space="preserve">Business context, the data, and the Strategy One implementation — with worked examples and diagrams.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B7A4B" w:sz="18"/>
              <w:bottom w:val="none"/>
              <w:right w:val="none"/>
            </w:tcBorders>
            <w:shd w:fill="E3F1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How to read this.</w:t>
            </w:r>
            <w:r>
              <w:t xml:space="preserve"> Written for two readers at once — the </w:t>
            </w:r>
            <w:r>
              <w:rPr>
                <w:b/>
                <w:bCs/>
              </w:rPr>
              <w:t xml:space="preserve">business reader</w:t>
            </w:r>
            <w:r>
              <w:t xml:space="preserve"> (what counterparty credit risk, limits, and stress PFE are, and why they matter) and the </w:t>
            </w:r>
            <w:r>
              <w:rPr>
                <w:b/>
                <w:bCs/>
              </w:rPr>
              <w:t xml:space="preserve">technical reader</w:t>
            </w:r>
            <w:r>
              <w:t xml:space="preserve"> (how the dashboard was built). Every technical choice is tied back to its business reason, and each concept is illustrated with an example. A running example threads through: the counterparty </w:t>
            </w:r>
            <w:r>
              <w:rPr>
                <w:b/>
                <w:bCs/>
              </w:rPr>
              <w:t xml:space="preserve">AGNC Investment Corp.</w:t>
            </w:r>
            <w:r>
              <w:t xml:space="preserve">, whose line is </w:t>
            </w:r>
            <w:r>
              <w:rPr>
                <w:rFonts w:ascii="Consolas" w:cs="Consolas" w:eastAsia="Consolas" w:hAnsi="Consolas"/>
                <w:color w:val="205072"/>
                <w:sz w:val="18"/>
                <w:szCs w:val="18"/>
              </w:rPr>
              <w:t xml:space="preserve">CP_(TDBK)_(AMCQ_C2C)</w:t>
            </w:r>
            <w:r>
              <w:t xml:space="preserve"> (TD Bank facing AGNC, counterparty code </w:t>
            </w:r>
            <w:r>
              <w:rPr>
                <w:b/>
                <w:bCs/>
              </w:rPr>
              <w:t xml:space="preserve">AMCQ</w:t>
            </w:r>
            <w:r>
              <w:t xml:space="preserve">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60"/>
      </w:pPr>
      <w:r>
        <w:rPr>
          <w:b/>
          <w:bCs/>
          <w:color w:val="1F2D36"/>
          <w:sz w:val="26"/>
          <w:szCs w:val="26"/>
        </w:rPr>
        <w:t xml:space="preserve">Contents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1.  The Business Problem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2.  The Core Concepts (with examples)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3.  The Data Landscape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4.  The asts Table in Detail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5.  Data-Quality Realities We Found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6.  The Semantic Model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7.  The Dashboard / Tearsheet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8.  The Views — Logic and Construction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9.  Parked Items and Notes for the Rebuild Team</w:t>
      </w:r>
    </w:p>
    <w:p>
      <w:pPr>
        <w:spacing w:after="50"/>
        <w:ind w:left="200"/>
      </w:pPr>
      <w:r>
        <w:rPr>
          <w:color w:val="24333B"/>
          <w:sz w:val="22"/>
          <w:szCs w:val="22"/>
        </w:rPr>
        <w:t xml:space="preserve">10. Glossary</w:t>
      </w:r>
    </w:p>
    <w:p>
      <w:r>
        <w:br w:type="page"/>
      </w:r>
    </w:p>
    <w:p>
      <w:pPr>
        <w:pStyle w:val="Heading1"/>
      </w:pPr>
      <w:r>
        <w:t xml:space="preserve">1. The Business Problem</w:t>
      </w:r>
    </w:p>
    <w:p>
      <w:pPr>
        <w:pStyle w:val="Heading2"/>
      </w:pPr>
      <w:r>
        <w:t xml:space="preserve">What we are building</w:t>
      </w:r>
    </w:p>
    <w:p>
      <w:pPr>
        <w:spacing w:after="120" w:line="264"/>
      </w:pPr>
      <w:r>
        <w:t xml:space="preserve">We are rebuilding a legacy per-counterparty </w:t>
      </w:r>
      <w:r>
        <w:rPr>
          <w:b/>
          <w:bCs/>
        </w:rPr>
        <w:t xml:space="preserve">PFE Stress Testing tearsheet</w:t>
      </w:r>
      <w:r>
        <w:t xml:space="preserve"> — historically a static report from the </w:t>
      </w:r>
      <w:r>
        <w:rPr>
          <w:b/>
          <w:bCs/>
        </w:rPr>
        <w:t xml:space="preserve">SCREAM</w:t>
      </w:r>
      <w:r>
        <w:t xml:space="preserve"> risk engine, assembled in Word/Excel — as a </w:t>
      </w:r>
      <w:r>
        <w:rPr>
          <w:b/>
          <w:bCs/>
        </w:rPr>
        <w:t xml:space="preserve">live, governed dashboard in Strategy One</w:t>
      </w:r>
      <w:r>
        <w:t xml:space="preserve">, sitting on a </w:t>
      </w:r>
      <w:r>
        <w:rPr>
          <w:b/>
          <w:bCs/>
        </w:rPr>
        <w:t xml:space="preserve">Mosaic semantic model</w:t>
      </w:r>
      <w:r>
        <w:t xml:space="preserve"> over </w:t>
      </w:r>
      <w:r>
        <w:rPr>
          <w:b/>
          <w:bCs/>
        </w:rPr>
        <w:t xml:space="preserve">Databricks</w:t>
      </w:r>
      <w:r>
        <w:t xml:space="preserve">. A tearsheet is a one-page summary for a single counterparty: who they are, how much potential exposure TD has to them, how that exposure behaves under stress, where it breaches limits, and space for the analyst's commentary.</w:t>
      </w:r>
    </w:p>
    <w:p>
      <w:pPr>
        <w:spacing w:after="30" w:before="6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Figure 1 — The governed pipeline: where the number is made vs. where it is presented." descr="Figure 1 — The governed pipeline: where the number is made vs. where it is presented." title="Figure 1 — The governed pipeline: where the number is made vs. where it is presen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A82"/>
          <w:sz w:val="17"/>
          <w:szCs w:val="17"/>
        </w:rPr>
        <w:t xml:space="preserve">Figure 1 — The governed pipeline: where the number is made vs. where it is presented.</w:t>
      </w:r>
    </w:p>
    <w:p>
      <w:pPr>
        <w:pStyle w:val="Heading2"/>
      </w:pPr>
      <w:r>
        <w:t xml:space="preserve">Why it matters — the business drivers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Counterparty credit risk is a real loss channel.</w:t>
      </w:r>
      <w:r>
        <w:t xml:space="preserve"> When TD trades derivatives or financing with a counterparty, TD can end up being </w:t>
      </w:r>
      <w:r>
        <w:rPr>
          <w:i/>
          <w:iCs/>
        </w:rPr>
        <w:t xml:space="preserve">owed</w:t>
      </w:r>
      <w:r>
        <w:t xml:space="preserve"> money. If the counterparty defaults while owing TD, TD takes a loss. Credit Risk measures and limits that exposure before it becomes a loss.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Stress testing reveals the tail.</w:t>
      </w:r>
      <w:r>
        <w:t xml:space="preserve"> Normal-market exposure can look modest, but a 2008-style shock can multiply it. The business needs to see how bad it could get, not just today's number.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Limits are how the bank controls appetite.</w:t>
      </w:r>
      <w:r>
        <w:t xml:space="preserve"> Each line has limits; a </w:t>
      </w:r>
      <w:r>
        <w:rPr>
          <w:b/>
          <w:bCs/>
        </w:rPr>
        <w:t xml:space="preserve">breach</w:t>
      </w:r>
      <w:r>
        <w:t xml:space="preserve"> (exposure over limit) is a signal requiring attention, escalation, or action.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Governance.</w:t>
      </w:r>
      <w:r>
        <w:t xml:space="preserve"> The legacy report lived in spreadsheets — ungoverned calculations that can't be audited. The thesis: </w:t>
      </w:r>
      <w:r>
        <w:rPr>
          <w:i/>
          <w:iCs/>
        </w:rPr>
        <w:t xml:space="preserve">any calculation outside the registered semantic model is ungoverned.</w:t>
      </w:r>
      <w:r>
        <w:t xml:space="preserve"> Moving the logic into Databricks → Mosaic → Strategy makes the numbers governed, versioned, and self-service.</w:t>
      </w:r>
    </w:p>
    <w:p>
      <w:pPr>
        <w:spacing w:after="120" w:line="264"/>
      </w:pPr>
      <w:r>
        <w:rPr>
          <w:b/>
          <w:bCs/>
        </w:rPr>
        <w:t xml:space="preserve">Who reads it:</w:t>
      </w:r>
      <w:r>
        <w:t xml:space="preserve"> a credit-risk analyst reviewing a counterparty, deciding whether a stressed breach needs action, and recording why.</w:t>
      </w:r>
    </w:p>
    <w:p>
      <w:pPr>
        <w:pStyle w:val="Heading1"/>
      </w:pPr>
      <w:r>
        <w:t xml:space="preserve">2. The Core Concepts (with examples)</w:t>
      </w:r>
    </w:p>
    <w:p>
      <w:pPr>
        <w:spacing w:after="120" w:line="264"/>
      </w:pPr>
      <w:r>
        <w:t xml:space="preserve">This section is the heart of the business understanding — read it even if you skip the rest.</w:t>
      </w:r>
    </w:p>
    <w:p>
      <w:pPr>
        <w:pStyle w:val="Heading2"/>
      </w:pPr>
      <w:r>
        <w:t xml:space="preserve">2.1 Counterparty Credit Risk (CCR)</w:t>
      </w:r>
    </w:p>
    <w:p>
      <w:pPr>
        <w:spacing w:after="120" w:line="264"/>
      </w:pPr>
      <w:r>
        <w:rPr>
          <w:b/>
          <w:bCs/>
        </w:rPr>
        <w:t xml:space="preserve">Plain version:</w:t>
      </w:r>
      <w:r>
        <w:t xml:space="preserve"> the risk that someone TD trades with fails to pay what they owe.</w:t>
      </w:r>
    </w:p>
    <w:p>
      <w:pPr>
        <w:spacing w:after="120" w:line="264"/>
      </w:pPr>
      <w:r>
        <w:rPr>
          <w:b/>
          <w:bCs/>
        </w:rPr>
        <w:t xml:space="preserve">Real-life analogy:</w:t>
      </w:r>
      <w:r>
        <w:t xml:space="preserve"> lending a friend money is credit risk. CCR is subtler — it is like co-signing a deal whose value swings: you might be </w:t>
      </w:r>
      <w:r>
        <w:rPr>
          <w:i/>
          <w:iCs/>
        </w:rPr>
        <w:t xml:space="preserve">owed</w:t>
      </w:r>
      <w:r>
        <w:t xml:space="preserve"> money one month and </w:t>
      </w:r>
      <w:r>
        <w:rPr>
          <w:i/>
          <w:iCs/>
        </w:rPr>
        <w:t xml:space="preserve">owe</w:t>
      </w:r>
      <w:r>
        <w:t xml:space="preserve"> money the next. You only lose if (a) they owe you and (b) they default at that moment.</w:t>
      </w:r>
    </w:p>
    <w:p>
      <w:pPr>
        <w:spacing w:after="120" w:line="264"/>
      </w:pPr>
      <w:r>
        <w:rPr>
          <w:b/>
          <w:bCs/>
        </w:rPr>
        <w:t xml:space="preserve">Example:</w:t>
      </w:r>
      <w:r>
        <w:t xml:space="preserve"> TD enters a 5-year interest-rate swap with AGNC. At inception it is worth about $0 to both sides. Six months later, rates have moved and the swap is worth </w:t>
      </w:r>
      <w:r>
        <w:rPr>
          <w:b/>
          <w:bCs/>
        </w:rPr>
        <w:t xml:space="preserve">+$10M to TD</w:t>
      </w:r>
      <w:r>
        <w:t xml:space="preserve"> (AGNC owes TD $10M). If AGNC defaults right then, TD loses that $10M — that is TD's exposure at that moment.</w:t>
      </w:r>
    </w:p>
    <w:p>
      <w:pPr>
        <w:pStyle w:val="Heading2"/>
      </w:pPr>
      <w:r>
        <w:t xml:space="preserve">2.2 Potential Future Exposure (PFE) — the key metric</w:t>
      </w:r>
    </w:p>
    <w:p>
      <w:pPr>
        <w:spacing w:after="120" w:line="264"/>
      </w:pPr>
      <w:r>
        <w:t xml:space="preserve">Exposure today is knowable; exposure in the future is not — it depends on where the market goes. </w:t>
      </w:r>
      <w:r>
        <w:rPr>
          <w:b/>
          <w:bCs/>
        </w:rPr>
        <w:t xml:space="preserve">PFE</w:t>
      </w:r>
      <w:r>
        <w:t xml:space="preserve"> is a simulated estimate of how large the exposure could plausibly become over the life of the trades. The SCREAM engine runs a </w:t>
      </w:r>
      <w:r>
        <w:rPr>
          <w:b/>
          <w:bCs/>
        </w:rPr>
        <w:t xml:space="preserve">Monte Carlo simulation</w:t>
      </w:r>
      <w:r>
        <w:t xml:space="preserve"> (thousands of future market paths), revalues TD's positions on each, and takes a high percentile of the exposure distribution.</w:t>
      </w:r>
    </w:p>
    <w:p>
      <w:pPr>
        <w:spacing w:after="120" w:line="264"/>
      </w:pPr>
      <w:r>
        <w:rPr>
          <w:b/>
          <w:bCs/>
        </w:rPr>
        <w:t xml:space="preserve">Real-life analogy:</w:t>
      </w:r>
      <w:r>
        <w:t xml:space="preserve"> a weather forecast does not say 'it will rain 4mm'; it says 'the 90th-percentile rainfall could be 30mm'. PFE is the high percentile of </w:t>
      </w:r>
      <w:r>
        <w:rPr>
          <w:i/>
          <w:iCs/>
        </w:rPr>
        <w:t xml:space="preserve">future exposure</w:t>
      </w:r>
      <w:r>
        <w:t xml:space="preserve">, not the average.</w:t>
      </w:r>
    </w:p>
    <w:p>
      <w:pPr>
        <w:spacing w:after="30" w:before="60"/>
        <w:jc w:val="center"/>
      </w:pPr>
      <w:r>
        <w:drawing>
          <wp:inline distT="0" distB="0" distL="0" distR="0">
            <wp:extent cx="5334000" cy="3095625"/>
            <wp:effectExtent t="0" r="0" b="0" l="0"/>
            <wp:docPr id="1" name="Figure 2 — What PFE is: thousands of simulated paths, then take a high percentile." descr="Figure 2 — What PFE is: thousands of simulated paths, then take a high percentile." title="Figure 2 — What PFE is: thousands of simulated paths, then take a high percent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A82"/>
          <w:sz w:val="17"/>
          <w:szCs w:val="17"/>
        </w:rPr>
        <w:t xml:space="preserve">Figure 2 — What PFE is: thousands of simulated paths, then take a high percentile.</w:t>
      </w:r>
    </w:p>
    <w:p>
      <w:pPr>
        <w:pStyle w:val="Heading2"/>
      </w:pPr>
      <w:r>
        <w:t xml:space="preserve">2.3 Tenor / Time Buckets — exposure has a maturity profile</w:t>
      </w:r>
    </w:p>
    <w:p>
      <w:pPr>
        <w:spacing w:after="120" w:line="264"/>
      </w:pPr>
      <w:r>
        <w:t xml:space="preserve">Exposure is not a single number; it changes over the life of the trades. So PFE is measured across </w:t>
      </w:r>
      <w:r>
        <w:rPr>
          <w:b/>
          <w:bCs/>
        </w:rPr>
        <w:t xml:space="preserve">time buckets</w:t>
      </w:r>
      <w:r>
        <w:t xml:space="preserve">: 0–3 Mo, 3–12 Mo, 1–2 Yr, 2–5 Yr, 5–10 Yr, 10–50 Yr.</w:t>
      </w:r>
    </w:p>
    <w:p>
      <w:pPr>
        <w:spacing w:after="120" w:line="264"/>
      </w:pPr>
      <w:r>
        <w:rPr>
          <w:b/>
          <w:bCs/>
        </w:rPr>
        <w:t xml:space="preserve">Example (AGNC):</w:t>
      </w:r>
      <w:r>
        <w:t xml:space="preserve"> potential exposure is small in 0–3 Mo but </w:t>
      </w:r>
      <w:r>
        <w:rPr>
          <w:b/>
          <w:bCs/>
        </w:rPr>
        <w:t xml:space="preserve">balloons in the 2–5 Yr bucket</w:t>
      </w:r>
      <w:r>
        <w:t xml:space="preserve"> — exactly where its largest breach sits.</w:t>
      </w:r>
    </w:p>
    <w:p>
      <w:pPr>
        <w:spacing w:after="30" w:before="60"/>
        <w:jc w:val="center"/>
      </w:pPr>
      <w:r>
        <w:drawing>
          <wp:inline distT="0" distB="0" distL="0" distR="0">
            <wp:extent cx="5524500" cy="3114675"/>
            <wp:effectExtent t="0" r="0" b="0" l="0"/>
            <wp:docPr id="1" name="Figure 3 — Exposure across the maturity curve: stress peaks (and breaches the limit) in 2–5 Yr." descr="Figure 3 — Exposure across the maturity curve: stress peaks (and breaches the limit) in 2–5 Yr." title="Figure 3 — Exposure across the maturity curve: stress peaks (and breaches the limit) in 2–5 Y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A82"/>
          <w:sz w:val="17"/>
          <w:szCs w:val="17"/>
        </w:rPr>
        <w:t xml:space="preserve">Figure 3 — Exposure across the maturity curve: stress peaks (and breaches the limit) in 2–5 Yr.</w:t>
      </w:r>
    </w:p>
    <w:p>
      <w:pPr>
        <w:pStyle w:val="Heading2"/>
      </w:pPr>
      <w:r>
        <w:t xml:space="preserve">2.4 Max Usage and Limits — utilization</w:t>
      </w:r>
    </w:p>
    <w:p>
      <w:pPr>
        <w:spacing w:after="120" w:line="264"/>
      </w:pPr>
      <w:r>
        <w:rPr>
          <w:b/>
          <w:bCs/>
        </w:rPr>
        <w:t xml:space="preserve">Limit:</w:t>
      </w:r>
      <w:r>
        <w:t xml:space="preserve"> the maximum exposure TD is willing to carry on a line, set per tenor bucket; it encodes credit appetite. </w:t>
      </w:r>
      <w:r>
        <w:rPr>
          <w:b/>
          <w:bCs/>
        </w:rPr>
        <w:t xml:space="preserve">Max Usage:</w:t>
      </w:r>
      <w:r>
        <w:t xml:space="preserve"> the peak PFE within a bucket under a scenario — how much of the limit the exposure consumes.</w:t>
      </w:r>
    </w:p>
    <w:p>
      <w:pPr>
        <w:spacing w:after="120" w:line="264"/>
      </w:pPr>
      <w:r>
        <w:rPr>
          <w:b/>
          <w:bCs/>
        </w:rPr>
        <w:t xml:space="preserve">Real-life analogy:</w:t>
      </w:r>
      <w:r>
        <w:t xml:space="preserve"> a </w:t>
      </w:r>
      <w:r>
        <w:rPr>
          <w:b/>
          <w:bCs/>
        </w:rPr>
        <w:t xml:space="preserve">credit card</w:t>
      </w:r>
      <w:r>
        <w:t xml:space="preserve">. The limit is your credit line; usage is what you have charged. Go over the limit and you have a breach. </w:t>
      </w:r>
      <w:r>
        <w:rPr>
          <w:i/>
          <w:iCs/>
        </w:rPr>
        <w:t xml:space="preserve">Example:</w:t>
      </w:r>
      <w:r>
        <w:t xml:space="preserve"> if AGNC's 2–5 Yr limit is $10M and stressed Max Usage is $12.3M, the line is over limit in that bucket.</w:t>
      </w:r>
    </w:p>
    <w:p>
      <w:pPr>
        <w:pStyle w:val="Heading2"/>
      </w:pPr>
      <w:r>
        <w:t xml:space="preserve">2.5 Current vs Stressed Exposure</w:t>
      </w:r>
    </w:p>
    <w:p>
      <w:pPr>
        <w:spacing w:after="120" w:line="264"/>
      </w:pPr>
      <w:r>
        <w:rPr>
          <w:b/>
          <w:bCs/>
        </w:rPr>
        <w:t xml:space="preserve">Standard / Current Exposure</w:t>
      </w:r>
      <w:r>
        <w:t xml:space="preserve"> is PFE under normal market assumptions (the unstressed base). </w:t>
      </w:r>
      <w:r>
        <w:rPr>
          <w:b/>
          <w:bCs/>
        </w:rPr>
        <w:t xml:space="preserve">Stressed Exposure</w:t>
      </w:r>
      <w:r>
        <w:t xml:space="preserve"> is PFE after re-running the simulation under a stress scenario. </w:t>
      </w:r>
      <w:r>
        <w:rPr>
          <w:i/>
          <w:iCs/>
        </w:rPr>
        <w:t xml:space="preserve">Example (AGNC, 2–5 Yr):</w:t>
      </w:r>
      <w:r>
        <w:t xml:space="preserve"> Current ≈ </w:t>
      </w:r>
      <w:r>
        <w:rPr>
          <w:b/>
          <w:bCs/>
        </w:rPr>
        <w:t xml:space="preserve">$296,801</w:t>
      </w:r>
      <w:r>
        <w:t xml:space="preserve">; Stressed ≈ </w:t>
      </w:r>
      <w:r>
        <w:rPr>
          <w:b/>
          <w:bCs/>
        </w:rPr>
        <w:t xml:space="preserve">$12,278,413</w:t>
      </w:r>
      <w:r>
        <w:t xml:space="preserve"> — roughly </w:t>
      </w:r>
      <w:r>
        <w:rPr>
          <w:b/>
          <w:bCs/>
        </w:rPr>
        <w:t xml:space="preserve">40× larger</w:t>
      </w:r>
      <w:r>
        <w:t xml:space="preserve">. That gap is the whole point of stress testing.</w:t>
      </w:r>
    </w:p>
    <w:p>
      <w:pPr>
        <w:pStyle w:val="Heading2"/>
      </w:pPr>
      <w:r>
        <w:t xml:space="preserve">2.6 Stress Scenarios — why correlation and volatility</w:t>
      </w:r>
    </w:p>
    <w:p>
      <w:pPr>
        <w:spacing w:after="120" w:line="264"/>
      </w:pPr>
      <w:r>
        <w:t xml:space="preserve">Stress scenarios re-run the simulation with stressed correlations and volatilities; the most punishing crank </w:t>
      </w:r>
      <w:r>
        <w:rPr>
          <w:b/>
          <w:bCs/>
        </w:rPr>
        <w:t xml:space="preserve">correlation toward 1.0</w:t>
      </w:r>
      <w:r>
        <w:t xml:space="preserve">.</w:t>
      </w:r>
    </w:p>
    <w:p>
      <w:pPr>
        <w:spacing w:after="120" w:line="264"/>
      </w:pPr>
      <w:r>
        <w:rPr>
          <w:b/>
          <w:bCs/>
        </w:rPr>
        <w:t xml:space="preserve">Why correlation matters (analogy):</w:t>
      </w:r>
      <w:r>
        <w:t xml:space="preserve"> a diversified portfolio is safe </w:t>
      </w:r>
      <w:r>
        <w:rPr>
          <w:i/>
          <w:iCs/>
        </w:rPr>
        <w:t xml:space="preserve">because</w:t>
      </w:r>
      <w:r>
        <w:t xml:space="preserve"> its holdings do not all move together. In a crash (2008, March 2020), </w:t>
      </w:r>
      <w:r>
        <w:rPr>
          <w:b/>
          <w:bCs/>
        </w:rPr>
        <w:t xml:space="preserve">'all correlations go to 1'</w:t>
      </w:r>
      <w:r>
        <w:t xml:space="preserve">: everything falls together, diversification evaporates, exposure spikes. Stress scenarios deliberately simulate that. This is why </w:t>
      </w:r>
      <w:r>
        <w:rPr>
          <w:b/>
          <w:bCs/>
        </w:rPr>
        <w:t xml:space="preserve">Correlation_1.0</w:t>
      </w:r>
      <w:r>
        <w:t xml:space="preserve"> is often the binding scenario — it removes all diversification benefit.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Engine code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Summary shorthand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Descriptive name (tearsheet legend)</w:t>
            </w:r>
            <w:r>
              <w:t xml:space="preserve">*</w:t>
            </w:r>
          </w:p>
        </w:tc>
      </w:tr>
      <w:t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BASE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Cartor / Base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Base (≈ Current Exposure)</w:t>
            </w:r>
          </w:p>
        </w:tc>
      </w:tr>
      <w:t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ZeroCorrelation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Zero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Volatility &amp; Correlation-0</w:t>
            </w:r>
          </w:p>
        </w:tc>
      </w:tr>
      <w:t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Correlation_0.25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25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Volatility &amp; Intermediate-Market-0 Correlation*</w:t>
            </w:r>
          </w:p>
        </w:tc>
      </w:tr>
      <w:t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Correlation_0.75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75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Volatility &amp; Intermediate-Market-1 Correlation*</w:t>
            </w:r>
          </w:p>
        </w:tc>
      </w:tr>
      <w:t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Correlation_1.0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One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Volatility &amp; Correlation-1</w:t>
            </w:r>
          </w:p>
        </w:tc>
      </w:tr>
      <w:t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STRMARKETC75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STR75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STRMARKETC75</w:t>
            </w:r>
          </w:p>
        </w:tc>
      </w:tr>
      <w:t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ProdCorrelation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Prod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Volatility &amp; Market Correlation*</w:t>
            </w:r>
          </w:p>
        </w:tc>
      </w:tr>
      <w:tr>
        <w:tc>
          <w:tcPr>
            <w:tcW w:type="dxa" w:w="24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STRMPR025</w:t>
            </w:r>
          </w:p>
        </w:tc>
        <w:tc>
          <w:tcPr>
            <w:tcW w:type="dxa" w:w="22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STRMPR025</w:t>
            </w:r>
          </w:p>
        </w:tc>
        <w:tc>
          <w:tcPr>
            <w:tcW w:type="dxa" w:w="47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STRMPR025</w:t>
            </w:r>
          </w:p>
        </w:tc>
      </w:tr>
    </w:tbl>
    <w:p>
      <w:pPr>
        <w:spacing w:after="120" w:before="60"/>
      </w:pPr>
      <w:r>
        <w:rPr>
          <w:i/>
          <w:iCs/>
          <w:color w:val="6B7A82"/>
          <w:sz w:val="18"/>
          <w:szCs w:val="18"/>
        </w:rPr>
        <w:t xml:space="preserve">* Starred descriptive names are a blueprint placeholder read off the sample legend and not yet validated — see §8.3 and §9.</w:t>
      </w:r>
    </w:p>
    <w:p>
      <w:pPr>
        <w:pStyle w:val="Heading2"/>
      </w:pPr>
      <w:r>
        <w:t xml:space="preserve">2.7 Breach — and why it is not just 'over the limit'</w:t>
      </w:r>
    </w:p>
    <w:p>
      <w:pPr>
        <w:spacing w:after="120" w:line="264"/>
      </w:pPr>
      <w:r>
        <w:t xml:space="preserve">A breach is not simply Max Usage &gt; Limit. The business rule (pre-computed in our data) requires </w:t>
      </w:r>
      <w:r>
        <w:rPr>
          <w:b/>
          <w:bCs/>
        </w:rPr>
        <w:t xml:space="preserve">both</w:t>
      </w:r>
      <w:r>
        <w:t xml:space="preserve">: (1) Max Usage &gt; Limit × (Excess% + 1), and (2) Max Usage &gt; Limit + a rating-based buffer. The Excess% and buffer come from the </w:t>
      </w:r>
      <w:r>
        <w:rPr>
          <w:b/>
          <w:bCs/>
        </w:rPr>
        <w:t xml:space="preserve">Credit Limit Threshold</w:t>
      </w:r>
      <w:r>
        <w:t xml:space="preserve"> table, keyed on the worst rating (leading number only — e.g. '4A' → 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Worst Rating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Excess %</w:t>
            </w:r>
          </w:p>
        </w:tc>
      </w:tr>
      <w:tr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0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300M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300M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50%</w:t>
            </w:r>
          </w:p>
        </w:tc>
      </w:tr>
      <w:tr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100M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40%</w:t>
            </w:r>
          </w:p>
        </w:tc>
      </w:tr>
      <w:tr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50M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4 or worse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10M</w:t>
            </w:r>
          </w:p>
        </w:tc>
        <w:tc>
          <w:tcPr>
            <w:tcW w:type="dxa" w:w="312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30%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64"/>
      </w:pPr>
      <w:r>
        <w:rPr>
          <w:b/>
          <w:bCs/>
        </w:rPr>
        <w:t xml:space="preserve">Worked example (AGNC, rating 4A → 4):</w:t>
      </w:r>
      <w:r>
        <w:t xml:space="preserve"> limit band $10M, excess 30%. A bucket breaches only if stressed Max Usage exceeds </w:t>
      </w:r>
      <w:r>
        <w:rPr>
          <w:b/>
          <w:bCs/>
        </w:rPr>
        <w:t xml:space="preserve">$10M × 1.30 = $13M</w:t>
      </w:r>
      <w:r>
        <w:t xml:space="preserve"> </w:t>
      </w:r>
      <w:r>
        <w:rPr>
          <w:i/>
          <w:iCs/>
        </w:rPr>
        <w:t xml:space="preserve">and</w:t>
      </w:r>
      <w:r>
        <w:t xml:space="preserve"> exceeds $10M + buffer. The two-part test stops trivial overshoots from being flagged — the business only wants </w:t>
      </w:r>
      <w:r>
        <w:rPr>
          <w:i/>
          <w:iCs/>
        </w:rPr>
        <w:t xml:space="preserve">material</w:t>
      </w:r>
      <w:r>
        <w:t xml:space="preserve"> breaches escalated.</w:t>
      </w:r>
    </w:p>
    <w:p>
      <w:pPr>
        <w:spacing w:after="30" w:before="60"/>
        <w:jc w:val="center"/>
      </w:pPr>
      <w:r>
        <w:drawing>
          <wp:inline distT="0" distB="0" distL="0" distR="0">
            <wp:extent cx="4476750" cy="3009900"/>
            <wp:effectExtent t="0" r="0" b="0" l="0"/>
            <wp:docPr id="1" name="Figure 5 — The two-condition breach rule (already computed in asts)." descr="Figure 5 — The two-condition breach rule (already computed in asts)." title="Figure 5 — The two-condition breach rule (already computed in ast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A82"/>
          <w:sz w:val="17"/>
          <w:szCs w:val="17"/>
        </w:rPr>
        <w:t xml:space="preserve">Figure 5 — The two-condition breach rule (already computed in asts).</w:t>
      </w:r>
    </w:p>
    <w:p>
      <w:pPr>
        <w:pStyle w:val="Heading2"/>
      </w:pPr>
      <w:r>
        <w:t xml:space="preserve">2.8 Gross vs Net, Netting, and Collateral (CSA)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Gross exposure:</w:t>
      </w:r>
      <w:r>
        <w:t xml:space="preserve"> the sum of what TD is owed, ignoring offsets — worst case before mitigation.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Netting (ISDA):</w:t>
      </w:r>
      <w:r>
        <w:t xml:space="preserve"> TD's many trades with one counterparty offset. </w:t>
      </w:r>
      <w:r>
        <w:rPr>
          <w:i/>
          <w:iCs/>
        </w:rPr>
        <w:t xml:space="preserve">Example:</w:t>
      </w:r>
      <w:r>
        <w:t xml:space="preserve"> +$20M and −$15M net to </w:t>
      </w:r>
      <w:r>
        <w:rPr>
          <w:b/>
          <w:bCs/>
        </w:rPr>
        <w:t xml:space="preserve">$5M</w:t>
      </w:r>
      <w:r>
        <w:t xml:space="preserve">, not $20M.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Collateral / CSA:</w:t>
      </w:r>
      <w:r>
        <w:t xml:space="preserve"> an agreement to post collateral as exposure grows. </w:t>
      </w:r>
      <w:r>
        <w:rPr>
          <w:b/>
          <w:bCs/>
        </w:rPr>
        <w:t xml:space="preserve">CSA Direction</w:t>
      </w:r>
      <w:r>
        <w:t xml:space="preserve"> (e.g. 2-Way) = both sides post. </w:t>
      </w:r>
      <w:r>
        <w:rPr>
          <w:b/>
          <w:bCs/>
        </w:rPr>
        <w:t xml:space="preserve">CP Threshold</w:t>
      </w:r>
      <w:r>
        <w:t xml:space="preserve"> = how far the counterparty's owing can grow before </w:t>
      </w:r>
      <w:r>
        <w:rPr>
          <w:i/>
          <w:iCs/>
        </w:rPr>
        <w:t xml:space="preserve">they</w:t>
      </w:r>
      <w:r>
        <w:t xml:space="preserve"> post collateral to TD (e.g. CP threshold $5M caps TD's uncollateralized exposure near $5M). </w:t>
      </w:r>
      <w:r>
        <w:rPr>
          <w:b/>
          <w:bCs/>
        </w:rPr>
        <w:t xml:space="preserve">TD Threshold</w:t>
      </w:r>
      <w:r>
        <w:t xml:space="preserve"> is the mirror. </w:t>
      </w:r>
      <w:r>
        <w:rPr>
          <w:b/>
          <w:bCs/>
        </w:rPr>
        <w:t xml:space="preserve">MTA</w:t>
      </w:r>
      <w:r>
        <w:t xml:space="preserve"> = minimum transfer amount, so collateral only moves in meaningful chunks.</w:t>
      </w:r>
    </w:p>
    <w:p>
      <w:pPr>
        <w:spacing w:after="120" w:line="264"/>
      </w:pPr>
      <w:r>
        <w:rPr>
          <w:b/>
          <w:bCs/>
        </w:rPr>
        <w:t xml:space="preserve">Why it matters:</w:t>
      </w:r>
      <w:r>
        <w:t xml:space="preserve"> netting and collateral are the main reasons real exposure is far below gross. The tearsheet's CSA section (annotation #2) tells the analyst what mitigation is in place.</w:t>
      </w:r>
    </w:p>
    <w:p>
      <w:pPr>
        <w:pStyle w:val="Heading2"/>
      </w:pPr>
      <w:r>
        <w:t xml:space="preserve">2.9 TD Sub and OTC/SFT</w:t>
      </w:r>
    </w:p>
    <w:p>
      <w:pPr>
        <w:spacing w:after="120" w:line="264"/>
      </w:pPr>
      <w:r>
        <w:rPr>
          <w:b/>
          <w:bCs/>
        </w:rPr>
        <w:t xml:space="preserve">TD Sub:</w:t>
      </w:r>
      <w:r>
        <w:t xml:space="preserve"> some lines face TD's own entities (e.g. TD Securities (USA) LLC) — TD lending to itself, </w:t>
      </w:r>
      <w:r>
        <w:rPr>
          <w:i/>
          <w:iCs/>
        </w:rPr>
        <w:t xml:space="preserve">not</w:t>
      </w:r>
      <w:r>
        <w:t xml:space="preserve"> external credit risk — so they are flagged TD Sub = Y and carved out of external breach reporting (like moving money between your own accounts). </w:t>
      </w:r>
      <w:r>
        <w:rPr>
          <w:b/>
          <w:bCs/>
        </w:rPr>
        <w:t xml:space="preserve">OTC vs SFT:</w:t>
      </w:r>
      <w:r>
        <w:t xml:space="preserve"> over-the-counter derivatives vs Securities Financing Transactions (repo / sec lending); codes containing _DBL/_EBL/_BSB → SFT, else OTC.</w:t>
      </w:r>
    </w:p>
    <w:p>
      <w:pPr>
        <w:pStyle w:val="Heading1"/>
      </w:pPr>
      <w:r>
        <w:t xml:space="preserve">3. The Data Landscape</w:t>
      </w:r>
    </w:p>
    <w:p>
      <w:pPr>
        <w:spacing w:after="120" w:line="264"/>
      </w:pPr>
      <w:r>
        <w:rPr>
          <w:b/>
          <w:bCs/>
        </w:rPr>
        <w:t xml:space="preserve">Where exposure is actually calculated:</w:t>
      </w:r>
      <w:r>
        <w:t xml:space="preserve"> the </w:t>
      </w:r>
      <w:r>
        <w:rPr>
          <w:b/>
          <w:bCs/>
        </w:rPr>
        <w:t xml:space="preserve">SCREAM</w:t>
      </w:r>
      <w:r>
        <w:t xml:space="preserve"> engine (the Monte-Carlo simulator). Everything downstream — the AST tables, our views, Strategy — is </w:t>
      </w:r>
      <w:r>
        <w:rPr>
          <w:b/>
          <w:bCs/>
        </w:rPr>
        <w:t xml:space="preserve">business aggregation and presentation</w:t>
      </w:r>
      <w:r>
        <w:t xml:space="preserve">, not risk re-calculation. That separation is the backbone of governance: the risk number has one authoritative source (see Figure 1).</w:t>
      </w:r>
    </w:p>
    <w:p>
      <w:pPr>
        <w:pStyle w:val="Heading2"/>
      </w:pPr>
      <w:r>
        <w:t xml:space="preserve">3.1 The source feeds (schema xvala_core-raw)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Feed</w:t>
            </w:r>
          </w:p>
        </w:tc>
        <w:tc>
          <w:tcPr>
            <w:tcW w:type="dxa" w:w="15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What it is, in business terms</w:t>
            </w:r>
          </w:p>
        </w:tc>
      </w:tr>
      <w:tr>
        <w:tc>
          <w:tcPr>
            <w:tcW w:type="dxa" w:w="23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lines_report.csv</w:t>
            </w:r>
          </w:p>
        </w:tc>
        <w:tc>
          <w:tcPr>
            <w:tcW w:type="dxa" w:w="15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Fact</w:t>
            </w:r>
          </w:p>
        </w:tc>
        <w:tc>
          <w:tcPr>
            <w:tcW w:type="dxa" w:w="55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Published exposure-vs-limit at line grain: Max Usage ×6, Limit ×6, Gross Max Exposure, worst rating.</w:t>
            </w:r>
          </w:p>
        </w:tc>
      </w:tr>
      <w:tr>
        <w:tc>
          <w:tcPr>
            <w:tcW w:type="dxa" w:w="23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clients_report.csv</w:t>
            </w:r>
          </w:p>
        </w:tc>
        <w:tc>
          <w:tcPr>
            <w:tcW w:type="dxa" w:w="15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Dimension</w:t>
            </w:r>
          </w:p>
        </w:tc>
        <w:tc>
          <w:tcPr>
            <w:tcW w:type="dxa" w:w="55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Counterparty reference: code, name, ratings, country, industry, and the netting/CSA agreement block (ISDA/CSA flags, Agreement ID).</w:t>
            </w:r>
          </w:p>
        </w:tc>
      </w:tr>
      <w:tr>
        <w:tc>
          <w:tcPr>
            <w:tcW w:type="dxa" w:w="23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exp_decomp_report.csv</w:t>
            </w:r>
          </w:p>
        </w:tc>
        <w:tc>
          <w:tcPr>
            <w:tcW w:type="dxa" w:w="15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Lineage</w:t>
            </w:r>
          </w:p>
        </w:tc>
        <w:tc>
          <w:tcPr>
            <w:tcW w:type="dxa" w:w="55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Tall reconciliation that ties decomposed exposure back to lines_report (a Difference row = 0 proves the tie).</w:t>
            </w:r>
          </w:p>
        </w:tc>
      </w:tr>
      <w:tr>
        <w:tc>
          <w:tcPr>
            <w:tcW w:type="dxa" w:w="23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Line_Exclusion_Table.csv</w:t>
            </w:r>
          </w:p>
        </w:tc>
        <w:tc>
          <w:tcPr>
            <w:tcW w:type="dxa" w:w="15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Exclusions</w:t>
            </w:r>
          </w:p>
        </w:tc>
        <w:tc>
          <w:tcPr>
            <w:tcW w:type="dxa" w:w="55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Approval-workflow list removing internal test lines.</w:t>
            </w:r>
          </w:p>
        </w:tc>
      </w:tr>
      <w:tr>
        <w:tc>
          <w:tcPr>
            <w:tcW w:type="dxa" w:w="23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limits.csv</w:t>
            </w:r>
          </w:p>
        </w:tc>
        <w:tc>
          <w:tcPr>
            <w:tcW w:type="dxa" w:w="15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Reference</w:t>
            </w:r>
          </w:p>
        </w:tc>
        <w:tc>
          <w:tcPr>
            <w:tcW w:type="dxa" w:w="55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The live Credit Limit Threshold table (rating → limit, excess %).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The AST output tables (schema xvala_xva)</w:t>
      </w:r>
    </w:p>
    <w:p>
      <w:pPr>
        <w:spacing w:after="120" w:line="264"/>
      </w:pPr>
      <w:r>
        <w:t xml:space="preserve">The AST process consumes the SCREAM feeds and produces two tables the tearsheet is built on: </w:t>
      </w:r>
      <w:r>
        <w:rPr>
          <w:b/>
          <w:bCs/>
        </w:rPr>
        <w:t xml:space="preserve">asts</w:t>
      </w:r>
      <w:r>
        <w:t xml:space="preserve"> — the </w:t>
      </w:r>
      <w:r>
        <w:rPr>
          <w:i/>
          <w:iCs/>
        </w:rPr>
        <w:t xml:space="preserve">detailed</w:t>
      </w:r>
      <w:r>
        <w:t xml:space="preserve"> table, grain ≈ line × scenario, six time buckets laid out </w:t>
      </w:r>
      <w:r>
        <w:rPr>
          <w:b/>
          <w:bCs/>
        </w:rPr>
        <w:t xml:space="preserve">wide</w:t>
      </w:r>
      <w:r>
        <w:t xml:space="preserve"> (one column per bucket); and </w:t>
      </w:r>
      <w:r>
        <w:rPr>
          <w:b/>
          <w:bCs/>
        </w:rPr>
        <w:t xml:space="preserve">ats_summary</w:t>
      </w:r>
      <w:r>
        <w:t xml:space="preserve"> — </w:t>
      </w:r>
      <w:r>
        <w:rPr>
          <w:i/>
          <w:iCs/>
        </w:rPr>
        <w:t xml:space="preserve">one row per line</w:t>
      </w:r>
      <w:r>
        <w:t xml:space="preserve">, carrying the per-scenario maxima, Max of All, Scenario of Max, Percentage of Impact, and enrichment. The summary answers 'what is the worst across everything for this line'; the detailed table holds the full bucket × scenario grid needed for the maturity charts.</w:t>
      </w:r>
    </w:p>
    <w:p>
      <w:pPr>
        <w:pStyle w:val="Heading1"/>
      </w:pPr>
      <w:r>
        <w:t xml:space="preserve">4. The asts Table in Detail</w:t>
      </w:r>
    </w:p>
    <w:p>
      <w:pPr>
        <w:spacing w:after="120" w:line="264"/>
      </w:pPr>
      <w:r>
        <w:t xml:space="preserve">54 columns, grouped by family: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Identity / line:</w:t>
      </w:r>
      <w:r>
        <w:t xml:space="preserve"> Scenario_Name, Line, Long_Name, Line_Type, Line_Expiry (int, </w:t>
      </w:r>
      <w:r>
        <w:rPr>
          <w:b/>
          <w:bCs/>
        </w:rPr>
        <w:t xml:space="preserve">YYYYMMDD</w:t>
      </w:r>
      <w:r>
        <w:t xml:space="preserve"> — e.g. 20180531 = 2018-05-31), No_Line_Indicator, Line_Currency, Worst_Rating_Of_Associated_Clients.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Current usage — 6 wide buckets:</w:t>
      </w:r>
      <w:r>
        <w:t xml:space="preserve"> Standard_Usage_0_3_mo … Standard_Usage_10_50_Yr.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Stressed max usage — 6 wide buckets:</w:t>
      </w:r>
      <w:r>
        <w:t xml:space="preserve"> Max_Usage_0_3_mo … Max_Usage_10_50_Yr (per-scenario stressed PFE).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Limits — 6 wide buckets, named by tenor ENDPOINT:</w:t>
      </w:r>
      <w:r>
        <w:t xml:space="preserve"> Limit_3_mo, Limit_1_Yr, Limit_2_Yr, Limit_5_Yr, Limit_10_Yr, Limit_50_Yr.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Breach flags — 6 wide (TRUE/FALSE strings):</w:t>
      </w:r>
      <w:r>
        <w:t xml:space="preserve"> 0_3_mo_Excess_Breach … 10_50_Yr_Excess_Breach (already encode the two-condition rule).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Excess % — 6 wide (double):</w:t>
      </w:r>
      <w:r>
        <w:t xml:space="preserve"> 0_3_mo_Excess_Percentage … 10_50_Yr_Excess_Percentage.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Line-level summary:</w:t>
      </w:r>
      <w:r>
        <w:t xml:space="preserve"> Gross_Max_Exposure, Max_Scenario_Exposure, Max_Exp_Time_Bucket, Max_Scenario_Name, Standard_Exposure, Excess_Percentage, Exposure_Percentage (+ per-bucket), business_date.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Lineage leftovers:</w:t>
      </w:r>
      <w:r>
        <w:t xml:space="preserve"> Scenario, Timestep (from an exp_decomp-style merge; a likely source of duplicate-looking rows).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8841A" w:sz="18"/>
              <w:bottom w:val="none"/>
              <w:right w:val="none"/>
            </w:tcBorders>
            <w:shd w:fill="FBF3E2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Trap 1 — Limit naming.</w:t>
            </w:r>
            <w:r>
              <w:t xml:space="preserve"> Usage columns are named by </w:t>
            </w:r>
            <w:r>
              <w:rPr>
                <w:i/>
                <w:iCs/>
              </w:rPr>
              <w:t xml:space="preserve">range</w:t>
            </w:r>
            <w:r>
              <w:t xml:space="preserve"> (_0_3_mo …) but limits by their </w:t>
            </w:r>
            <w:r>
              <w:rPr>
                <w:i/>
                <w:iCs/>
              </w:rPr>
              <w:t xml:space="preserve">endpoint</w:t>
            </w:r>
            <w:r>
              <w:t xml:space="preserve">, so they map </w:t>
            </w:r>
            <w:r>
              <w:rPr>
                <w:b/>
                <w:bCs/>
              </w:rPr>
              <w:t xml:space="preserve">positionally</w:t>
            </w:r>
            <w:r>
              <w:t xml:space="preserve">: Limit_3_mo → 0–3 Mo, Limit_1_Yr → 3–12 Mo, Limit_2_Yr → 1–2 Yr, Limit_5_Yr → 2–5 Yr, Limit_10_Yr → 5–10 Yr, Limit_50_Yr → 10–50 Yr. Get this wrong and the limit line sits against the wrong buckets.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8841A" w:sz="18"/>
              <w:bottom w:val="none"/>
              <w:right w:val="none"/>
            </w:tcBorders>
            <w:shd w:fill="FBF3E2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Trap 2 — String dollars.</w:t>
            </w:r>
            <w:r>
              <w:t xml:space="preserve"> Every dollar/usage/limit column is typed </w:t>
            </w:r>
            <w:r>
              <w:rPr>
                <w:rFonts w:ascii="Consolas" w:cs="Consolas" w:eastAsia="Consolas" w:hAnsi="Consolas"/>
                <w:color w:val="205072"/>
                <w:sz w:val="18"/>
                <w:szCs w:val="18"/>
              </w:rPr>
              <w:t xml:space="preserve">string</w:t>
            </w:r>
            <w:r>
              <w:t xml:space="preserve"> (only Excess_Percentage is </w:t>
            </w:r>
            <w:r>
              <w:rPr>
                <w:rFonts w:ascii="Consolas" w:cs="Consolas" w:eastAsia="Consolas" w:hAnsi="Consolas"/>
                <w:color w:val="205072"/>
                <w:sz w:val="18"/>
                <w:szCs w:val="18"/>
              </w:rPr>
              <w:t xml:space="preserve">double</w:t>
            </w:r>
            <w:r>
              <w:t xml:space="preserve">). Anything that plots them must cast: </w:t>
            </w:r>
            <w:r>
              <w:rPr>
                <w:rFonts w:ascii="Consolas" w:cs="Consolas" w:eastAsia="Consolas" w:hAnsi="Consolas"/>
                <w:color w:val="205072"/>
                <w:sz w:val="18"/>
                <w:szCs w:val="18"/>
              </w:rPr>
              <w:t xml:space="preserve">TRY_CAST(REPLACE(col, ',', '') AS DOUBLE)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5. Data-Quality Realities We Found</w:t>
      </w:r>
    </w:p>
    <w:p>
      <w:pPr>
        <w:spacing w:after="120" w:line="264"/>
      </w:pPr>
      <w:r>
        <w:t xml:space="preserve">Real wrinkles in asts we discovered and worked around, flagged for the rebuild team to fix at source: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35 exact-duplicate rows</w:t>
      </w:r>
      <w:r>
        <w:t xml:space="preserve"> — removed in every view with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SELECT DISTINCT *</w:t>
      </w:r>
      <w:r>
        <w:t xml:space="preserve"> (the asts0 CTE).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Long_Name has variants per line</w:t>
      </w:r>
      <w:r>
        <w:t xml:space="preserve"> (stray spaces/truncation). Including it in a GROUP BY split a line in two → doubled Limit/Current (12 rows not 6). </w:t>
      </w:r>
      <w:r>
        <w:rPr>
          <w:i/>
          <w:iCs/>
        </w:rPr>
        <w:t xml:space="preserve">Fix:</w:t>
      </w:r>
      <w:r>
        <w:t xml:space="preserve"> group on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(Line, business_date)</w:t>
      </w:r>
      <w:r>
        <w:t xml:space="preserve"> only, pull Long_Name via MAX().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The BASE row can have null Limit/Usage.</w:t>
      </w:r>
      <w:r>
        <w:t xml:space="preserve"> Our first dedup picked the alphabetically-first scenario (BASE), whose limits were null → empty Limit. </w:t>
      </w:r>
      <w:r>
        <w:rPr>
          <w:i/>
          <w:iCs/>
        </w:rPr>
        <w:t xml:space="preserve">Fix:</w:t>
      </w:r>
      <w:r>
        <w:t xml:space="preserve"> MAX() across the line's rows (MAX ignores nulls; limits are constant per line).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Line_Type appeared multi-valued</w:t>
      </w:r>
      <w:r>
        <w:t xml:space="preserve"> for some lines — investigated; tied to duplicate/lineage rows, not a true composite key.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b/>
          <w:bCs/>
        </w:rPr>
        <w:t xml:space="preserve">All-string dollars</w:t>
      </w:r>
      <w:r>
        <w:t xml:space="preserve"> and </w:t>
      </w:r>
      <w:r>
        <w:rPr>
          <w:b/>
          <w:bCs/>
        </w:rPr>
        <w:t xml:space="preserve">Line_Expiry as YYYYMMDD int</w:t>
      </w:r>
      <w:r>
        <w:t xml:space="preserve"> — handled with casts.</w:t>
      </w:r>
    </w:p>
    <w:p>
      <w:pPr>
        <w:spacing w:after="120" w:line="264"/>
      </w:pPr>
      <w:r>
        <w:t xml:space="preserve">We proceeded anyway: these are blueprint-acceptable. The summary rebuild is another team's process; our job was to prove the end-to-end tearsheet on current data, with wrinkles documented.</w:t>
      </w:r>
    </w:p>
    <w:p>
      <w:pPr>
        <w:pStyle w:val="Heading1"/>
      </w:pPr>
      <w:r>
        <w:t xml:space="preserve">6. The Semantic Model</w:t>
      </w:r>
    </w:p>
    <w:p>
      <w:pPr>
        <w:spacing w:after="120" w:line="264"/>
      </w:pPr>
      <w:r>
        <w:t xml:space="preserve">The model (Mosaic, 'Stress PFE Data Model') is where raw Databricks columns become </w:t>
      </w:r>
      <w:r>
        <w:rPr>
          <w:b/>
          <w:bCs/>
        </w:rPr>
        <w:t xml:space="preserve">governed business objects</w:t>
      </w:r>
      <w:r>
        <w:t xml:space="preserve"> — Borrower, Line, Worst Rating, Time Bucket, Scenario, Limit, Excess %. Defining them once, centrally, means every chart and analyst uses the </w:t>
      </w:r>
      <w:r>
        <w:rPr>
          <w:i/>
          <w:iCs/>
        </w:rPr>
        <w:t xml:space="preserve">same</w:t>
      </w:r>
      <w:r>
        <w:t xml:space="preserve"> definition — the opposite of everyone rolling their own spreadsheet formula.</w:t>
      </w:r>
    </w:p>
    <w:p>
      <w:pPr>
        <w:spacing w:after="30" w:before="6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Figure 6 — The semantic model: Line is the hub; dimensions, hierarchies, and metrics hang off it." descr="Figure 6 — The semantic model: Line is the hub; dimensions, hierarchies, and metrics hang off it." title="Figure 6 — The semantic model: Line is the hub; dimensions, hierarchies, and metrics hang off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A82"/>
          <w:sz w:val="17"/>
          <w:szCs w:val="17"/>
        </w:rPr>
        <w:t xml:space="preserve">Figure 6 — The semantic model: Line is the hub; dimensions, hierarchies, and metrics hang off it.</w:t>
      </w:r>
    </w:p>
    <w:p>
      <w:pPr>
        <w:spacing w:after="120" w:line="264"/>
      </w:pPr>
      <w:r>
        <w:rPr>
          <w:b/>
          <w:bCs/>
        </w:rPr>
        <w:t xml:space="preserve">What is in it:</w:t>
      </w:r>
      <w:r>
        <w:t xml:space="preserve"> ~29 attributes, ~52 metrics; </w:t>
      </w:r>
      <w:r>
        <w:rPr>
          <w:b/>
          <w:bCs/>
        </w:rPr>
        <w:t xml:space="preserve">Line</w:t>
      </w:r>
      <w:r>
        <w:t xml:space="preserve"> is the central hub; hierarchies for drill (Region → CIF Country Name → Country Of Risk, and Industry → SIC Industry); </w:t>
      </w:r>
      <w:r>
        <w:rPr>
          <w:b/>
          <w:bCs/>
        </w:rPr>
        <w:t xml:space="preserve">breach indicators kept as attributes</w:t>
      </w:r>
      <w:r>
        <w:t xml:space="preserve"> (text TRUE/FALSE) because their job is </w:t>
      </w:r>
      <w:r>
        <w:rPr>
          <w:i/>
          <w:iCs/>
        </w:rPr>
        <w:t xml:space="preserve">filtering</w:t>
      </w:r>
      <w:r>
        <w:t xml:space="preserve">, not arithmetic.</w:t>
      </w:r>
    </w:p>
    <w:p>
      <w:pPr>
        <w:pStyle w:val="Heading2"/>
      </w:pPr>
      <w:r>
        <w:t xml:space="preserve">Aggregation rules — tied to business meaning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Dollars → Sum</w:t>
      </w:r>
      <w:r>
        <w:t xml:space="preserve"> when rolling up across lines (a portfolio total is the sum of line exposures); within a line the bucket max is already baked 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Ratios / percentages → Max, never Sum.</w:t>
      </w:r>
      <w:r>
        <w:t xml:space="preserve"> </w:t>
      </w:r>
      <w:r>
        <w:rPr>
          <w:i/>
          <w:iCs/>
        </w:rPr>
        <w:t xml:space="preserve">Why:</w:t>
      </w:r>
      <w:r>
        <w:t xml:space="preserve"> summing percentages is meaningless — two lines at 80% and 90% utilization are not 170%. So Excess % and Exposure % use MAX.</w:t>
      </w:r>
    </w:p>
    <w:p>
      <w:pPr>
        <w:pStyle w:val="Heading2"/>
      </w:pPr>
      <w:r>
        <w:t xml:space="preserve">Renaming and the Time Bucket sort</w:t>
      </w:r>
    </w:p>
    <w:p>
      <w:pPr>
        <w:spacing w:after="120" w:line="264"/>
      </w:pPr>
      <w:r>
        <w:t xml:space="preserve">Raw engine columns (Cartor Maximum, STR MPR 025 Maximum) were relabeled to friendly names (Base, 0.25, STR75, Prod, …) so analysts read scenarios, not engine codes. </w:t>
      </w:r>
      <w:r>
        <w:rPr>
          <w:b/>
          <w:bCs/>
        </w:rPr>
        <w:t xml:space="preserve">Time Bucket</w:t>
      </w:r>
      <w:r>
        <w:t xml:space="preserve"> initially sorted </w:t>
      </w:r>
      <w:r>
        <w:rPr>
          <w:i/>
          <w:iCs/>
        </w:rPr>
        <w:t xml:space="preserve">alphabetically</w:t>
      </w:r>
      <w:r>
        <w:t xml:space="preserve"> (0-3 Mo, 1-2 Yr, 10-50 Yr, 2-5 Yr…). </w:t>
      </w:r>
      <w:r>
        <w:rPr>
          <w:i/>
          <w:iCs/>
        </w:rPr>
        <w:t xml:space="preserve">Fix:</w:t>
      </w:r>
      <w:r>
        <w:t xml:space="preserve"> the view emits a numeric </w:t>
      </w:r>
      <w:r>
        <w:rPr>
          <w:b/>
          <w:bCs/>
        </w:rPr>
        <w:t xml:space="preserve">bucket_order</w:t>
      </w:r>
      <w:r>
        <w:t xml:space="preserve"> (1–6); we added it as a </w:t>
      </w:r>
      <w:r>
        <w:rPr>
          <w:i/>
          <w:iCs/>
        </w:rPr>
        <w:t xml:space="preserve">form</w:t>
      </w:r>
      <w:r>
        <w:t xml:space="preserve"> of the Time Bucket attribute and set the attribute's sort to Bucket Order ascending. Key lesson: the sort must live on the </w:t>
      </w:r>
      <w:r>
        <w:rPr>
          <w:i/>
          <w:iCs/>
        </w:rPr>
        <w:t xml:space="preserve">attribute on the axis</w:t>
      </w:r>
      <w:r>
        <w:t xml:space="preserve"> — sorting a separate Bucket Order attribute does nothing.</w:t>
      </w:r>
    </w:p>
    <w:p>
      <w:pPr>
        <w:pStyle w:val="Heading1"/>
      </w:pPr>
      <w:r>
        <w:t xml:space="preserve">7. The Dashboard / Tearsheet</w:t>
      </w:r>
    </w:p>
    <w:p>
      <w:pPr>
        <w:spacing w:after="120" w:line="264"/>
      </w:pPr>
      <w:r>
        <w:t xml:space="preserve">Dashboard: 'Stress PFE | Chapter 1 | Page 1'. Each visual is paired with the business question it answers.</w:t>
      </w:r>
    </w:p>
    <w:p>
      <w:pPr>
        <w:spacing w:after="30" w:before="60"/>
        <w:jc w:val="center"/>
      </w:pPr>
      <w:r>
        <w:drawing>
          <wp:inline distT="0" distB="0" distL="0" distR="0">
            <wp:extent cx="4572000" cy="3409950"/>
            <wp:effectExtent t="0" r="0" b="0" l="0"/>
            <wp:docPr id="1" name="Figure 8 — Tearsheet layout: each visual and the business question it answers." descr="Figure 8 — Tearsheet layout: each visual and the business question it answers." title="Figure 8 — Tearsheet layout: each visual and the business question it answ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A82"/>
          <w:sz w:val="17"/>
          <w:szCs w:val="17"/>
        </w:rPr>
        <w:t xml:space="preserve">Figure 8 — Tearsheet layout: each visual and the business question it answers.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Header card</w:t>
      </w:r>
      <w:r>
        <w:t xml:space="preserve"> — </w:t>
      </w:r>
      <w:r>
        <w:rPr>
          <w:i/>
          <w:iCs/>
        </w:rPr>
        <w:t xml:space="preserve">Who and what am I looking at?</w:t>
      </w:r>
      <w:r>
        <w:t xml:space="preserve"> Borrower, Line, Rating, Exposure Type, Currency; transposed into a vertical card. Note: the dashboard is </w:t>
      </w:r>
      <w:r>
        <w:rPr>
          <w:b/>
          <w:bCs/>
        </w:rPr>
        <w:t xml:space="preserve">per-line</w:t>
      </w:r>
      <w:r>
        <w:t xml:space="preserve">, not per-borrower (AGNC has three lines), so cascading Borrower ↔ Line filters let the analyst drill 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Scenario-maxima bars (Viz 1)</w:t>
      </w:r>
      <w:r>
        <w:t xml:space="preserve"> — </w:t>
      </w:r>
      <w:r>
        <w:rPr>
          <w:i/>
          <w:iCs/>
        </w:rPr>
        <w:t xml:space="preserve">Which stress scenario is worst?</w:t>
      </w:r>
      <w:r>
        <w:t xml:space="preserve"> Eight scenario-max metrics as bars; the tallest is binding. (Because each bar is a separate metric, Strategy can't auto-sort/highlight — fine for a single-line tearsheet.)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KPI tile</w:t>
      </w:r>
      <w:r>
        <w:t xml:space="preserve"> — </w:t>
      </w:r>
      <w:r>
        <w:rPr>
          <w:i/>
          <w:iCs/>
        </w:rPr>
        <w:t xml:space="preserve">The headline.</w:t>
      </w:r>
      <w:r>
        <w:t xml:space="preserve"> Max of All, Scenario of Max, Percentage of Impact. </w:t>
      </w:r>
      <w:r>
        <w:rPr>
          <w:i/>
          <w:iCs/>
        </w:rPr>
        <w:t xml:space="preserve">Example:</w:t>
      </w:r>
      <w:r>
        <w:t xml:space="preserve"> Percentage of Impact </w:t>
      </w:r>
      <w:r>
        <w:rPr>
          <w:b/>
          <w:bCs/>
        </w:rPr>
        <w:t xml:space="preserve">1,489%</w:t>
      </w:r>
      <w:r>
        <w:t xml:space="preserve"> means the stressed peak is ~15× the base (~$1.1M → ~$16.4M).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Multi-Factor Stress Results (Viz 3, the hero)</w:t>
      </w:r>
      <w:r>
        <w:t xml:space="preserve"> — </w:t>
      </w:r>
      <w:r>
        <w:rPr>
          <w:i/>
          <w:iCs/>
        </w:rPr>
        <w:t xml:space="preserve">How does exposure behave across the maturity curve, per scenario, vs the limit?</w:t>
      </w:r>
      <w:r>
        <w:t xml:space="preserve"> x = Time Bucket, y = Value, colour = Series. Required the wide→long unpivot (§8.1).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Exposure Change, Stressed vs Current</w:t>
      </w:r>
      <w:r>
        <w:t xml:space="preserve"> — </w:t>
      </w:r>
      <w:r>
        <w:rPr>
          <w:i/>
          <w:iCs/>
        </w:rPr>
        <w:t xml:space="preserve">Where does stress add the most?</w:t>
      </w:r>
      <w:r>
        <w:t xml:space="preserve"> One line per scenario of (stressed − current) across buckets.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Breach summary grid</w:t>
      </w:r>
      <w:r>
        <w:t xml:space="preserve"> — </w:t>
      </w:r>
      <w:r>
        <w:rPr>
          <w:i/>
          <w:iCs/>
        </w:rPr>
        <w:t xml:space="preserve">What is the single worst breach and what drives it?</w:t>
      </w:r>
      <w:r>
        <w:t xml:space="preserve"> From vw_asts_largest_breach (§8.2). Beneath sits the commentary block (manual, §8.4).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Shared legend (annotation #3)</w:t>
      </w:r>
      <w:r>
        <w:t xml:space="preserve"> — the auto-generated chart legend </w:t>
      </w:r>
      <w:r>
        <w:rPr>
          <w:i/>
          <w:iCs/>
        </w:rPr>
        <w:t xml:space="preserve">is</w:t>
      </w:r>
      <w:r>
        <w:t xml:space="preserve"> the scenario colour key; to present it as a separate box, lock Series colours page-wide first, then position one legend to the side.</w:t>
      </w:r>
    </w:p>
    <w:p>
      <w:pPr>
        <w:pStyle w:val="Heading1"/>
      </w:pPr>
      <w:r>
        <w:t xml:space="preserve">8. The Views — Logic and Construction</w:t>
      </w:r>
    </w:p>
    <w:p>
      <w:pPr>
        <w:spacing w:after="120" w:line="264"/>
      </w:pPr>
      <w:r>
        <w:t xml:space="preserve">The hard work lived in SQL views over asts. Recurring principle: </w:t>
      </w:r>
      <w:r>
        <w:rPr>
          <w:b/>
          <w:bCs/>
        </w:rPr>
        <w:t xml:space="preserve">do the data shaping in governed views so the dashboard stays simple and single-table</w:t>
      </w:r>
      <w:r>
        <w:t xml:space="preserve"> — which also avoids Cartesian/fan-out joins.</w:t>
      </w:r>
    </w:p>
    <w:p>
      <w:pPr>
        <w:spacing w:after="30" w:before="6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Figure 7 — View lineage: from raw asts through the CTEs and views to the dashboard." descr="Figure 7 — View lineage: from raw asts through the CTEs and views to the dashboard." title="Figure 7 — View lineage: from raw asts through the CTEs and views to the dashbo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A82"/>
          <w:sz w:val="17"/>
          <w:szCs w:val="17"/>
        </w:rPr>
        <w:t xml:space="preserve">Figure 7 — View lineage: from raw asts through the CTEs and views to the dashboard.</w:t>
      </w:r>
    </w:p>
    <w:p>
      <w:pPr>
        <w:pStyle w:val="Heading2"/>
      </w:pPr>
      <w:r>
        <w:t xml:space="preserve">8.1 vw_asts_bucket_pivot — wide → long, the engine of the charts</w:t>
      </w:r>
    </w:p>
    <w:p>
      <w:pPr>
        <w:spacing w:after="120" w:line="264"/>
      </w:pPr>
      <w:r>
        <w:rPr>
          <w:b/>
          <w:bCs/>
        </w:rPr>
        <w:t xml:space="preserve">Business need:</w:t>
      </w:r>
      <w:r>
        <w:t xml:space="preserve"> the hero and exposure-change charts need </w:t>
      </w:r>
      <w:r>
        <w:rPr>
          <w:b/>
          <w:bCs/>
        </w:rPr>
        <w:t xml:space="preserve">Time Bucket</w:t>
      </w:r>
      <w:r>
        <w:t xml:space="preserve"> and </w:t>
      </w:r>
      <w:r>
        <w:rPr>
          <w:b/>
          <w:bCs/>
        </w:rPr>
        <w:t xml:space="preserve">Series</w:t>
      </w:r>
      <w:r>
        <w:t xml:space="preserve"> as dimensions you can put on an axis / colour by. But asts stores buckets </w:t>
      </w:r>
      <w:r>
        <w:rPr>
          <w:b/>
          <w:bCs/>
        </w:rPr>
        <w:t xml:space="preserve">wide</w:t>
      </w:r>
      <w:r>
        <w:t xml:space="preserve"> (one column per bucket) and has no single 'series' column — and you cannot put a column </w:t>
      </w:r>
      <w:r>
        <w:rPr>
          <w:i/>
          <w:iCs/>
        </w:rPr>
        <w:t xml:space="preserve">name</w:t>
      </w:r>
      <w:r>
        <w:t xml:space="preserve"> on an axis. So we </w:t>
      </w:r>
      <w:r>
        <w:rPr>
          <w:b/>
          <w:bCs/>
        </w:rPr>
        <w:t xml:space="preserve">unpivot</w:t>
      </w:r>
      <w:r>
        <w:t xml:space="preserve">.</w:t>
      </w:r>
    </w:p>
    <w:p>
      <w:pPr>
        <w:spacing w:after="30" w:before="6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Figure 4 — The unpivot: a column name can't go on an axis, but a dimension can." descr="Figure 4 — The unpivot: a column name can't go on an axis, but a dimension can." title="Figure 4 — The unpivot: a column name can't go on an axis, but a dimension c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A82"/>
          <w:sz w:val="17"/>
          <w:szCs w:val="17"/>
        </w:rPr>
        <w:t xml:space="preserve">Figure 4 — The unpivot: a column name can't go on an axis, but a dimension can.</w:t>
      </w:r>
    </w:p>
    <w:p>
      <w:pPr>
        <w:spacing w:after="120" w:line="264"/>
      </w:pPr>
      <w:r>
        <w:rPr>
          <w:b/>
          <w:bCs/>
        </w:rPr>
        <w:t xml:space="preserve">Construction, CTE by CTE:</w:t>
      </w:r>
      <w:r>
        <w:t xml:space="preserve">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asts0</w:t>
      </w:r>
      <w:r>
        <w:t xml:space="preserve"> drops the 35 duplicates;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line_rep</w:t>
      </w:r>
      <w:r>
        <w:t xml:space="preserve"> makes one row per (Line, business_date) using MAX on every Limit/Standard column (de-dupes </w:t>
      </w:r>
      <w:r>
        <w:rPr>
          <w:i/>
          <w:iCs/>
        </w:rPr>
        <w:t xml:space="preserve">and</w:t>
      </w:r>
      <w:r>
        <w:t xml:space="preserve"> grabs the non-null value, fixing the empty-BASE-row problem, and grouping on the true key avoids Long_Name doubling);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current_long</w:t>
      </w:r>
      <w:r>
        <w:t xml:space="preserve"> gives one current_value per (line, bucket) for the delta;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base_long</w:t>
      </w:r>
      <w:r>
        <w:t xml:space="preserve"> is three UNION ALL blocks (scenario usage, current exposure, limit — the limit using the </w:t>
      </w:r>
      <w:r>
        <w:rPr>
          <w:i/>
          <w:iCs/>
        </w:rPr>
        <w:t xml:space="preserve">positional</w:t>
      </w:r>
      <w:r>
        <w:t xml:space="preserve"> map) via Spark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stack(6, …)</w:t>
      </w:r>
      <w:r>
        <w:t xml:space="preserve">; the </w:t>
      </w:r>
      <w:r>
        <w:rPr>
          <w:b/>
          <w:bCs/>
        </w:rPr>
        <w:t xml:space="preserve">final SELECT</w:t>
      </w:r>
      <w:r>
        <w:t xml:space="preserve"> adds current_value + change_vs_current and translates scenario codes through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scenario_display_xref</w:t>
      </w:r>
      <w:r>
        <w:t xml:space="preserve">, with everything cast and a bucket_order for sorting.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A" w:sz="2"/>
              <w:left w:val="single" w:color="0B7A4B" w:sz="8"/>
              <w:bottom w:val="single" w:color="CBD5DA" w:sz="2"/>
              <w:right w:val="single" w:color="CBD5DA" w:sz="2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CREATE OR REPLACE VIEW `d4001-centralus-tdvip-creditrisk`.`xvala_xva`.`vw_asts_bucket_pivot` AS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WITH asts0 AS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DISTINCT * FROM `d4001-centralus-tdvip-creditrisk`.`xvala_xva`.`asts`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line_rep AS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Line, business_date, MAX(Long_Name) AS Long_Name,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MAX(Limit_3_mo) AS Limit_3_mo,  MAX(Limit_1_Yr) AS Limit_1_Yr,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MAX(Limit_2_Yr) AS Limit_2_Yr,  MAX(Limit_5_Yr) AS Limit_5_Yr,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MAX(Limit_10_Yr) AS Limit_10_Yr, MAX(Limit_50_Yr) AS Limit_50_Yr,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MAX(Standard_Usage_0_3_mo)  AS Standard_Usage_0_3_mo,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MAX(Standard_Usage_3_12_mo) AS Standard_Usage_3_12_mo,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MAX(Standard_Usage_1_2_Yr)  AS Standard_Usage_1_2_Yr,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MAX(Standard_Usage_2_5_Yr)  AS Standard_Usage_2_5_Yr,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MAX(Standard_Usage_5_10_Yr) AS Standard_Usage_5_10_Yr,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MAX(Standard_Usage_10_50_Yr) AS Standard_Usage_10_50_Yr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asts0 GROUP BY Line, business_date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current_long AS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line, business_date, bucket_order,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TRY_CAST(REPLACE(value_str, ',', '') AS DOUBLE) AS current_value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SELECT Line AS line, business_date,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stack(6, 1,Standard_Usage_0_3_mo, 2,Standard_Usage_3_12_mo, 3,Standard_Usage_1_2_Yr,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4,Standard_Usage_2_5_Yr, 5,Standard_Usage_5_10_Yr, 6,Standard_Usage_10_50_Yr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) AS (bucket_order, value_str)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FROM line_rep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base_long AS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-- 1) stressed usage per scenario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line, long_name, business_date, scenario, series, time_bucket, bucket_order,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TRY_CAST(REPLACE(value_str, ',', '') AS DOUBLE) AS value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SELECT Line AS line, Long_Name AS long_name, business_date,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Scenario_Name AS scenario, Scenario_Name AS series,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stack(6, '0-3 Mo',1,Max_Usage_0_3_mo, '3-12 Mo',2,Max_Usage_3_12_mo,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     '1-2 Yr',3,Max_Usage_1_2_Yr, '2-5 Yr',4,Max_Usage_2_5_Yr,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     '5-10 Yr',5,Max_Usage_5_10_Yr,'10-50 Yr',6,Max_Usage_10_50_Yr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) AS (time_bucket, bucket_order, value_str)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FROM asts0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UNION ALL  -- 2) current exposure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line, long_name, business_date, CAST(NULL AS STRING), 'Current Exposure', time_bucket, bucket_order,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TRY_CAST(REPLACE(value_str, ',', '') AS DOUBLE)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SELECT Line AS line, Long_Name AS long_name, business_date,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stack(6, '0-3 Mo',1,Standard_Usage_0_3_mo, '3-12 Mo',2,Standard_Usage_3_12_mo,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     '1-2 Yr',3,Standard_Usage_1_2_Yr, '2-5 Yr',4,Standard_Usage_2_5_Yr,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     '5-10 Yr',5,Standard_Usage_5_10_Yr,'10-50 Yr',6,Standard_Usage_10_50_Yr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) AS (time_bucket, bucket_order, value_str)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FROM line_rep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UNION ALL  -- 3) limit (positional column -&gt; bucket mapping)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line, long_name, business_date, CAST(NULL AS STRING), 'Limit', time_bucket, bucket_order,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TRY_CAST(REPLACE(value_str, ',', '') AS DOUBLE)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SELECT Line AS line, Long_Name AS long_name, business_date,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stack(6, '0-3 Mo',1,Limit_3_mo, '3-12 Mo',2,Limit_1_Yr,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     '1-2 Yr',3,Limit_2_Yr, '2-5 Yr',4,Limit_5_Yr,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     '5-10 Yr',5,Limit_10_Yr,'10-50 Yr',6,Limit_50_Yr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) AS (time_bucket, bucket_order, value_str)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FROM line_rep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SELECT b.line, b.long_name, b.business_date, b.scenario,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COALESCE(x.display_name, b.series) AS series,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b.time_bucket, b.bucket_order, b.value,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c.current_value,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b.value - c.current_value AS change_vs_current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FROM base_long b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LEFT JOIN current_long c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ON b.line=c.line AND b.business_date=c.business_date AND b.bucket_order=c.bucket_order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LEFT JOIN `d4001-centralus-tdvip-creditrisk`.`xvala_xva`.`scenario_display_xref` x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ON b.series = x.scenario_code;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8.2 vw_asts_largest_breach — the breach summary, done properly</w:t>
      </w:r>
    </w:p>
    <w:p>
      <w:pPr>
        <w:spacing w:after="120" w:line="264"/>
      </w:pPr>
      <w:r>
        <w:rPr>
          <w:b/>
          <w:bCs/>
        </w:rPr>
        <w:t xml:space="preserve">Business need:</w:t>
      </w:r>
      <w:r>
        <w:t xml:space="preserve"> show </w:t>
      </w:r>
      <w:r>
        <w:rPr>
          <w:i/>
          <w:iCs/>
        </w:rPr>
        <w:t xml:space="preserve">the single worst breach</w:t>
      </w:r>
      <w:r>
        <w:t xml:space="preserve"> for a line — which bucket, which scenario, how big. We use the </w:t>
      </w:r>
      <w:r>
        <w:rPr>
          <w:b/>
          <w:bCs/>
        </w:rPr>
        <w:t xml:space="preserve">pre-computed breach flags</w:t>
      </w:r>
      <w:r>
        <w:t xml:space="preserve"> (which already encode the two-condition rule), keep only TRUE flags, and rank the breaching cells per line by </w:t>
      </w:r>
      <w:r>
        <w:rPr>
          <w:b/>
          <w:bCs/>
        </w:rPr>
        <w:t xml:space="preserve">excess amount</w:t>
      </w:r>
      <w:r>
        <w:t xml:space="preserve"> (stressed − limit), taking the top. </w:t>
      </w:r>
      <w:r>
        <w:rPr>
          <w:rFonts w:ascii="Consolas" w:cs="Consolas" w:eastAsia="Consolas" w:hAnsi="Consolas"/>
          <w:color w:val="205072"/>
          <w:sz w:val="18"/>
          <w:szCs w:val="18"/>
        </w:rPr>
        <w:t xml:space="preserve">line_attr</w:t>
      </w:r>
      <w:r>
        <w:t xml:space="preserve"> converts Line_Expiry (YYYYMMDD int) to a real date. The result is </w:t>
      </w:r>
      <w:r>
        <w:rPr>
          <w:b/>
          <w:bCs/>
        </w:rPr>
        <w:t xml:space="preserve">one row per line, single-table</w:t>
      </w:r>
      <w:r>
        <w:t xml:space="preserve"> — so the grid reads everything from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392B" w:sz="18"/>
              <w:bottom w:val="none"/>
              <w:right w:val="none"/>
            </w:tcBorders>
            <w:shd w:fill="F7E1DD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Fan-out lesson.</w:t>
            </w:r>
            <w:r>
              <w:t xml:space="preserve"> Pulling Line Expiry Date from a </w:t>
            </w:r>
            <w:r>
              <w:rPr>
                <w:i/>
                <w:iCs/>
              </w:rPr>
              <w:t xml:space="preserve">different</w:t>
            </w:r>
            <w:r>
              <w:t xml:space="preserve"> (many-row-per-line) table caused a </w:t>
            </w:r>
            <w:r>
              <w:rPr>
                <w:b/>
                <w:bCs/>
              </w:rPr>
              <w:t xml:space="preserve">Cartesian product</w:t>
            </w:r>
            <w:r>
              <w:t xml:space="preserve"> in the grid. The fix was to bring the expiry </w:t>
            </w:r>
            <w:r>
              <w:rPr>
                <w:i/>
                <w:iCs/>
              </w:rPr>
              <w:t xml:space="preserve">into this one-row-per-line view</w:t>
            </w:r>
            <w:r>
              <w:t xml:space="preserve">. Rule of thumb: a grid sourced from a 1-row-per-line view should pull </w:t>
            </w:r>
            <w:r>
              <w:rPr>
                <w:i/>
                <w:iCs/>
              </w:rPr>
              <w:t xml:space="preserve">every</w:t>
            </w:r>
            <w:r>
              <w:t xml:space="preserve"> field from that view.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A" w:sz="2"/>
              <w:left w:val="single" w:color="0B7A4B" w:sz="8"/>
              <w:bottom w:val="single" w:color="CBD5DA" w:sz="2"/>
              <w:right w:val="single" w:color="CBD5DA" w:sz="2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CREATE OR REPLACE VIEW `...`.`xvala_xva`.`vw_asts_largest_breach` AS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WITH asts0 AS ( SELECT DISTINCT * FROM `...`.`xvala_xva`.`asts` ),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ref AS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line, business_date, bucket_order,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TRY_CAST(REPLACE(limit_str,  ',','') AS DOUBLE) AS limit_value,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TRY_CAST(REPLACE(current_str,',','') AS DOUBLE) AS current_value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SELECT Line AS line, business_date,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stack(6, 1,Limit_3_mo,Standard_Usage_0_3_mo,   2,Limit_1_Yr,Standard_Usage_3_12_mo,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3,Limit_2_Yr,Standard_Usage_1_2_Yr,   4,Limit_5_Yr,Standard_Usage_2_5_Yr,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5,Limit_10_Yr,Standard_Usage_5_10_Yr, 6,Limit_50_Yr,Standard_Usage_10_50_Yr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) AS (bucket_order, limit_str, current_str)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FROM ( SELECT Line, business_date,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MAX(Limit_3_mo) Limit_3_mo, MAX(Limit_1_Yr) Limit_1_Yr, MAX(Limit_2_Yr) Limit_2_Yr,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MAX(Limit_5_Yr) Limit_5_Yr, MAX(Limit_10_Yr) Limit_10_Yr, MAX(Limit_50_Yr) Limit_50_Yr,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MAX(Standard_Usage_0_3_mo) Standard_Usage_0_3_mo, MAX(Standard_Usage_3_12_mo) Standard_Usage_3_12_mo,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MAX(Standard_Usage_1_2_Yr) Standard_Usage_1_2_Yr, MAX(Standard_Usage_2_5_Yr) Standard_Usage_2_5_Yr,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MAX(Standard_Usage_5_10_Yr) Standard_Usage_5_10_Yr, MAX(Standard_Usage_10_50_Yr) Standard_Usage_10_50_Yr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FROM asts0 GROUP BY Line, business_date 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line_attr AS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Line AS line, business_date,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to_date(CAST(MAX(Line_Expiry) AS STRING), 'yyyyMMdd') AS line_expiry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asts0 GROUP BY Line, business_date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breaches AS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line, business_date, scenario, time_bucket, bucket_order,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TRY_CAST(REPLACE(usage_str,',','') AS DOUBLE) AS stressed_exposure,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UPPER(TRIM(breach_str)) AS breach_flag, excess_pct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SELECT Line AS line, business_date, Scenario_Name AS scenario,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stack(6,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'0-3 Mo',1,Max_Usage_0_3_mo,  `0_3_mo_Excess_Breach`,  `0_3_mo_Excess_Percentage`,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'3-12 Mo',2,Max_Usage_3_12_mo, `3_12_mo_Excess_Breach`, `3_12_mo_Excess_Percentage`,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'1-2 Yr',3,Max_Usage_1_2_Yr,  `1_2_Yr_Excess_Breach`,  `1_2_Yr_Excess_Percentage`,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'2-5 Yr',4,Max_Usage_2_5_Yr,  `2_5_Yr_Excess_Breach`,  `2_5_Yr_Excess_Percentage`,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'5-10 Yr',5,Max_Usage_5_10_Yr, `5_10_Yr_Excess_Breach`, `5_10_Yr_Excess_Percentage`,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'10-50 Yr',6,Max_Usage_10_50_Yr,`10_50_Yr_Excess_Breach`,`10_50_Yr_Excess_Percentage`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) AS (time_bucket, bucket_order, usage_str, breach_str, excess_pct)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FROM asts0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SELECT * FROM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SELECT b.line, b.business_date,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b.scenario    AS scenario_of_largest_breach,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b.time_bucket AS bucket_of_largest_breach,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b.stressed_exposure, r.limit_value AS limit, r.current_value AS current_exposure,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(b.stressed_exposure - r.limit_value) AS excess_amount, b.excess_pct, la.line_expiry,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ROW_NUMBER() OVER (PARTITION BY b.line, b.business_date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                          ORDER BY (b.stressed_exposure - r.limit_value) DESC) AS rn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FROM breaches b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JOIN ref r        ON b.line=r.line  AND b.business_date=r.business_date AND b.bucket_order=r.bucket_order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JOIN line_attr la ON b.line=la.line AND b.business_date=la.business_date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WHERE b.breach_flag = 'TRUE'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 WHERE rn = 1;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8.3 scenario_display_xref — the governed scenario-name map (blueprint)</w:t>
      </w:r>
    </w:p>
    <w:p>
      <w:pPr>
        <w:spacing w:after="120" w:line="264"/>
      </w:pPr>
      <w:r>
        <w:rPr>
          <w:b/>
          <w:bCs/>
        </w:rPr>
        <w:t xml:space="preserve">Business need:</w:t>
      </w:r>
      <w:r>
        <w:t xml:space="preserve"> the legend uses </w:t>
      </w:r>
      <w:r>
        <w:rPr>
          <w:i/>
          <w:iCs/>
        </w:rPr>
        <w:t xml:space="preserve">descriptive</w:t>
      </w:r>
      <w:r>
        <w:t xml:space="preserve"> names, not engine codes. Putting the mapping in a </w:t>
      </w:r>
      <w:r>
        <w:rPr>
          <w:b/>
          <w:bCs/>
        </w:rPr>
        <w:t xml:space="preserve">reference view</w:t>
      </w:r>
      <w:r>
        <w:t xml:space="preserve"> (not hardcoded in logic) means the team validates/updates </w:t>
      </w:r>
      <w:r>
        <w:rPr>
          <w:b/>
          <w:bCs/>
        </w:rPr>
        <w:t xml:space="preserve">one object</w:t>
      </w:r>
      <w:r>
        <w:t xml:space="preserve"> when the authoritative scenario dictionary arrives — the governed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8841A" w:sz="18"/>
              <w:bottom w:val="none"/>
              <w:right w:val="none"/>
            </w:tcBorders>
            <w:shd w:fill="FBF3E2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Blueprint / placeholder.</w:t>
            </w:r>
            <w:r>
              <w:t xml:space="preserve"> Names were read off the sample legend and are </w:t>
            </w:r>
            <w:r>
              <w:rPr>
                <w:b/>
                <w:bCs/>
              </w:rPr>
              <w:t xml:space="preserve">not yet validated</w:t>
            </w:r>
            <w:r>
              <w:t xml:space="preserve">. Confident: ZeroCorrelation, Correlation_1.0. Guesses (confirm or swap): the 0.25/0.75 → Intermediate-Market labels and ProdCorrelation → 'Market Correlation'.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A" w:sz="2"/>
              <w:left w:val="single" w:color="0B7A4B" w:sz="8"/>
              <w:bottom w:val="single" w:color="CBD5DA" w:sz="2"/>
              <w:right w:val="single" w:color="CBD5DA" w:sz="2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CREATE OR REPLACE VIEW `...`.`xvala_xva`.`scenario_display_xref` AS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SELECT * FROM VALUES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('BASE',             'Base'),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('ZeroCorrelation',  'Volatility &amp; Correlation-0'),                       -- confident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('Correlation_1.0',  'Volatility &amp; Correlation-1'),                       -- confident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('Correlation_0.25', 'Volatility &amp; Intermediate-Market-0 Correlation'),  -- GUESS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('Correlation_0.75', 'Volatility &amp; Intermediate-Market-1 Correlation'),  -- GUESS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('ProdCorrelation',  'Volatility &amp; Market Correlation'),                  -- GUESS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('STRMARKETC75',     'STRMARKETC75'),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('STRMPR025',        'STRMPR025')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AS t(scenario_code, display_name);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8.4 breach_commentary — write-back table (blueprint)</w:t>
      </w:r>
    </w:p>
    <w:p>
      <w:pPr>
        <w:spacing w:after="120" w:line="264"/>
      </w:pPr>
      <w:r>
        <w:rPr>
          <w:b/>
          <w:bCs/>
        </w:rPr>
        <w:t xml:space="preserve">Business need:</w:t>
      </w:r>
      <w:r>
        <w:t xml:space="preserve"> the analyst's narrative (Primary/Secondary Risk Drivers, Products Driving Exposure, Notes) has no source feed — a human types it. Strategy's </w:t>
      </w:r>
      <w:r>
        <w:rPr>
          <w:b/>
          <w:bCs/>
        </w:rPr>
        <w:t xml:space="preserve">SQL Transaction Forms</w:t>
      </w:r>
      <w:r>
        <w:t xml:space="preserve"> turn a dashboard grid into an editable form that writes back to this table; the breach grid then LEFT JOINs it (1:1 by line+date, no fan-out) to display the commentary. Edits should be permission-scoped and audited; confirm Transaction-Forms write-back is enabled for the Databricks SQL warehouse connection.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DA" w:sz="2"/>
              <w:left w:val="single" w:color="0B7A4B" w:sz="8"/>
              <w:bottom w:val="single" w:color="CBD5DA" w:sz="2"/>
              <w:right w:val="single" w:color="CBD5DA" w:sz="2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CREATE TABLE IF NOT EXISTS `...`.`xvala_xva`.`breach_commentary` (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line STRING, business_date STRING,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primary_risk_driver STRING, secondary_risk_driver STRING,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products_driving_exposure STRING, notes STRING,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  updated_by STRING, updated_at TIMESTAMP</w:t>
            </w:r>
          </w:p>
          <w:p>
            <w:pPr>
              <w:spacing w:after="0" w:line="198"/>
            </w:pPr>
            <w:r>
              <w:rPr>
                <w:rFonts w:ascii="Consolas" w:cs="Consolas" w:eastAsia="Consolas" w:hAnsi="Consolas"/>
                <w:color w:val="24333B"/>
                <w:sz w:val="15"/>
                <w:szCs w:val="15"/>
              </w:rPr>
              <w:t xml:space="preserve">) USING DELTA;</w:t>
            </w:r>
          </w:p>
        </w:tc>
      </w:tr>
    </w:tbl>
    <w:p>
      <w:pPr>
        <w:pStyle w:val="Heading1"/>
      </w:pPr>
      <w:r>
        <w:t xml:space="preserve">9. Parked Items and Notes for the Rebuild Team</w:t>
      </w:r>
    </w:p>
    <w:p>
      <w:pPr>
        <w:spacing w:after="120" w:line="264"/>
      </w:pPr>
      <w:r>
        <w:rPr>
          <w:b/>
          <w:bCs/>
        </w:rPr>
        <w:t xml:space="preserve">Data quality (fix at source in asts):</w:t>
      </w:r>
      <w:r>
        <w:t xml:space="preserve"> 35 duplicate rows; Long_Name variants; null Limit on the BASE row; grain is line × scenario but not perfectly clean.</w:t>
      </w:r>
    </w:p>
    <w:p>
      <w:pPr>
        <w:spacing w:after="120" w:line="264"/>
      </w:pPr>
      <w:r>
        <w:rPr>
          <w:b/>
          <w:bCs/>
        </w:rPr>
        <w:t xml:space="preserve">Dashboard polish:</w:t>
      </w:r>
      <w:r>
        <w:t xml:space="preserve"> Limit as a line on the hero chart (needs a limit_value column + a derived Limit metric, since shape is set per-metric and Limit is currently a series element); colour-lock scenarios page-wide; validate the scenario display-name dictionary and finalize the standalone legend box.</w:t>
      </w:r>
    </w:p>
    <w:p>
      <w:pPr>
        <w:spacing w:after="120" w:line="264"/>
      </w:pPr>
      <w:r>
        <w:rPr>
          <w:b/>
          <w:bCs/>
        </w:rPr>
        <w:t xml:space="preserve">External / manual feeds (annotations):</w:t>
      </w:r>
      <w:r>
        <w:t xml:space="preserve"> #1 Lending Manager → IHMS; #2 CSA Direction + CP/TD Thresholds → clients_report agreement block and SCREAM netting_xref.csv / client_info_nova.csv (CSA is per counterparty, joined Line → Counterparty — the line name embeds the CP code, e.g. AMCQ); #4–6 Risk Drivers / Products / Notes → manual write-back via breach_commentary + Transaction Forms; #7 'Number' → a derived rank of breaches by stressed PFE.</w:t>
      </w:r>
    </w:p>
    <w:p>
      <w:pPr>
        <w:spacing w:after="120" w:line="264"/>
      </w:pPr>
      <w:r>
        <w:rPr>
          <w:b/>
          <w:bCs/>
        </w:rPr>
        <w:t xml:space="preserve">Versioning:</w:t>
      </w:r>
      <w:r>
        <w:t xml:space="preserve"> the views and model can be exported to </w:t>
      </w:r>
      <w:r>
        <w:rPr>
          <w:b/>
          <w:bCs/>
        </w:rPr>
        <w:t xml:space="preserve">YAML and stored in Git</w:t>
      </w:r>
      <w:r>
        <w:t xml:space="preserve"> (Strategy's March 2026 capability) so the whole stack is version-controlled and auditable.</w:t>
      </w:r>
    </w:p>
    <w:p>
      <w:pPr>
        <w:pStyle w:val="Heading1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E3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CCR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Counterparty Credit Risk — risk a trading counterparty defaults while owing TD.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PFE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Potential Future Exposure — simulated high-percentile estimate of future exposure.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Max Usage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Peak PFE within a tenor bucket under a scenario; how much of the limit is used.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Limit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Max exposure TD will carry on a line, per tenor bucket; encodes credit appetite.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Breach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Max Usage over limit per the two-condition rule (excess % and rating buffer).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Current / Standard Exposure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PFE under normal (unstressed) market assumptions.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Stressed Exposure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PFE after re-simulating under a stress scenario.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Gross Max Exposure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Peak exposure before netting/collateral.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Netting (ISDA)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Offsetting positive and negative trade values into one net exposure.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CSA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Credit Support Annex — the collateral agreement.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CP / TD Threshold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How far one side's owing can grow before that side posts collateral.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MTA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Minimum Transfer Amount — collateral moves only in chunks ≥ MTA.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Tenor / Time Bucket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Maturity band (0–3 Mo … 10–50 Yr) over which exposure is measured.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TD Sub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Intragroup line (faces a TD entity); carved out of external breach reporting.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OTC / SFT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Over-the-counter derivatives vs Securities Financing Transactions.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SCREAM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The upstream Monte-Carlo engine where PFE is actually calculated.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AST tables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asts (detailed, line × scenario, wide buckets) and ats_summary (one row per line).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Percentage of Impact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Max of All ÷ Base — how many times worse stress is than the base case.</w:t>
            </w:r>
          </w:p>
        </w:tc>
      </w:tr>
      <w:tr>
        <w:tc>
          <w:tcPr>
            <w:tcW w:type="dxa" w:w="270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Semantic model (Mosaic)</w:t>
            </w:r>
          </w:p>
        </w:tc>
        <w:tc>
          <w:tcPr>
            <w:tcW w:type="dxa" w:w="6660"/>
            <w:tcBorders>
              <w:top w:val="single" w:color="C7D0D5" w:sz="1"/>
              <w:left w:val="single" w:color="C7D0D5" w:sz="1"/>
              <w:bottom w:val="single" w:color="C7D0D5" w:sz="1"/>
              <w:right w:val="single" w:color="C7D0D5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</w:pPr>
            <w:r>
              <w:t xml:space="preserve">The governed layer turning Databricks columns into business objects.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/>
      </w:pPr>
      <w:r>
        <w:rPr>
          <w:i/>
          <w:iCs/>
          <w:color w:val="6B7A82"/>
          <w:sz w:val="18"/>
          <w:szCs w:val="18"/>
        </w:rPr>
        <w:t xml:space="preserve">End of build notes — a living document. Extend it as the parked items are implemented and as the scenario dictionary and CSA feeds are confirmed.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A82"/>
        <w:sz w:val="16"/>
        <w:szCs w:val="16"/>
      </w:rPr>
      <w:t xml:space="preserve">Stress PFE Tearsheet — Build Notes    ·    </w:t>
    </w:r>
    <w:r>
      <w:rPr>
        <w:color w:val="6B7A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8CB" w:sz="6" w:space="4"/>
      </w:pBdr>
      <w:spacing w:after="140" w:before="300"/>
      <w:outlineLvl w:val="0"/>
    </w:pPr>
    <w:rPr>
      <w:rFonts w:ascii="Arial" w:cs="Arial" w:eastAsia="Arial" w:hAnsi="Arial"/>
      <w:b/>
      <w:bCs/>
      <w:color w:val="0B7A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F2D3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2E6E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ca619933988e1b1e300fa5a5e9a9bfe0697e07d.png"/><Relationship Id="rId9" Type="http://schemas.openxmlformats.org/officeDocument/2006/relationships/image" Target="media/4f98298050332ce3ba09282925583172913e1296.png"/><Relationship Id="rId10" Type="http://schemas.openxmlformats.org/officeDocument/2006/relationships/image" Target="media/9a4f1339809c5799a9e9783232585229201023a9.png"/><Relationship Id="rId11" Type="http://schemas.openxmlformats.org/officeDocument/2006/relationships/image" Target="media/91c9ec2dca220045a98ffa60b9fb6754e2478bbb.png"/><Relationship Id="rId12" Type="http://schemas.openxmlformats.org/officeDocument/2006/relationships/image" Target="media/2dcb818836952cd6feb0ca2aa209ff9170ea768e.png"/><Relationship Id="rId13" Type="http://schemas.openxmlformats.org/officeDocument/2006/relationships/image" Target="media/b1a4770730c2f049c95984d846883d063bcb7655.png"/><Relationship Id="rId14" Type="http://schemas.openxmlformats.org/officeDocument/2006/relationships/image" Target="media/27b6655b868628bba613946c7e349d3a1c015c91.png"/><Relationship Id="rId15" Type="http://schemas.openxmlformats.org/officeDocument/2006/relationships/image" Target="media/92d3593a51dae3ff991593041fb6bd902cdb009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Stress PFE Tearsheet — Build Notes</dc:title>
  <dc:creator>Stress PFE build</dc:creator>
  <cp:lastModifiedBy>Un-named</cp:lastModifiedBy>
  <cp:revision>1</cp:revision>
  <dcterms:created xsi:type="dcterms:W3CDTF">2026-06-19T12:51:00.971Z</dcterms:created>
  <dcterms:modified xsi:type="dcterms:W3CDTF">2026-06-19T12:51:00.972Z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