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b/>
          <w:bCs/>
          <w:color w:val="1F2D36"/>
          <w:sz w:val="46"/>
          <w:szCs w:val="46"/>
        </w:rPr>
        <w:t xml:space="preserve">Stress PFE Counterparty Tearsheet</w:t>
      </w:r>
    </w:p>
    <w:p>
      <w:pPr>
        <w:spacing w:after="60"/>
      </w:pPr>
      <w:r>
        <w:rPr>
          <w:b/>
          <w:bCs/>
          <w:color w:val="0B7A4B"/>
          <w:sz w:val="32"/>
          <w:szCs w:val="32"/>
        </w:rPr>
        <w:t xml:space="preserve">Strategy One — Build Instructions (User README)</w:t>
      </w:r>
    </w:p>
    <w:p>
      <w:pPr>
        <w:spacing w:after="200"/>
      </w:pPr>
      <w:r>
        <w:rPr>
          <w:i/>
          <w:iCs/>
          <w:color w:val="6B7A82"/>
          <w:sz w:val="22"/>
          <w:szCs w:val="22"/>
        </w:rPr>
        <w:t xml:space="preserve">Step-by-step instructions to reconstruct each visualization on the tearsheet, the field renames performed, and the model prerequisites.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B7A4B" w:sz="18"/>
              <w:bottom w:val="none"/>
              <w:right w:val="none"/>
            </w:tcBorders>
            <w:shd w:fill="E3F1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How to use this README.</w:t>
            </w:r>
            <w:r>
              <w:t xml:space="preserve"> Each card on the tearsheet has its own numbered section below with the same anatomy: </w:t>
            </w:r>
            <w:r>
              <w:rPr>
                <w:b/>
                <w:bCs/>
              </w:rPr>
              <w:t xml:space="preserve">Purpose · Data · Visualization · Shelves · Filter · Sort · Format · Prerequisite · Gotcha.</w:t>
            </w:r>
            <w:r>
              <w:t xml:space="preserve"> Build the </w:t>
            </w:r>
            <w:r>
              <w:rPr>
                <w:b/>
                <w:bCs/>
              </w:rPr>
              <w:t xml:space="preserve">Prerequisites</w:t>
            </w:r>
            <w:r>
              <w:t xml:space="preserve"> (Section 2) first — the views and model objects — then follow the card sections in order. Running example: counterparty </w:t>
            </w:r>
            <w:r>
              <w:rPr>
                <w:b/>
                <w:bCs/>
              </w:rPr>
              <w:t xml:space="preserve">AGNC Investment Corp.</w:t>
            </w:r>
            <w:r>
              <w:t xml:space="preserve">, line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CP_(TDBK)_(AMCQ_C2C)</w:t>
            </w:r>
            <w:r>
              <w:t xml:space="preserve">.</w:t>
            </w:r>
          </w:p>
        </w:tc>
      </w:tr>
    </w:tbl>
    <w:p>
      <w:pPr>
        <w:spacing w:after="100" w:before="160"/>
      </w:pPr>
      <w:r>
        <w:rPr>
          <w:b/>
          <w:bCs/>
          <w:color w:val="1F2D36"/>
          <w:sz w:val="26"/>
          <w:szCs w:val="26"/>
        </w:rPr>
        <w:t xml:space="preserve">Contents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1.  How this tearsheet is structured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2.  Prerequisites (views, model objects, the Line↔Line Expiry relationship)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3.  Field renames performed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4.  Layout overview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5.  Card-by-card build instructions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6.  Cascading Borrower ↔ Line filters</w:t>
      </w:r>
    </w:p>
    <w:p>
      <w:pPr>
        <w:spacing w:after="50"/>
        <w:ind w:left="200"/>
      </w:pPr>
      <w:r>
        <w:rPr>
          <w:color w:val="24333B"/>
          <w:sz w:val="22"/>
          <w:szCs w:val="22"/>
        </w:rPr>
        <w:t xml:space="preserve">7.  Outstanding / parked enhancements</w:t>
      </w:r>
    </w:p>
    <w:p>
      <w:r>
        <w:br w:type="page"/>
      </w:r>
    </w:p>
    <w:p>
      <w:pPr>
        <w:pStyle w:val="Heading1"/>
      </w:pPr>
      <w:r>
        <w:t xml:space="preserve">1. How this tearsheet is structured</w:t>
      </w:r>
    </w:p>
    <w:p>
      <w:pPr>
        <w:spacing w:after="120" w:line="264"/>
      </w:pPr>
      <w:r>
        <w:t xml:space="preserve">The tearsheet is a single Strategy One dashboard page ("Stress PFE | Chapter 1 | Page 1") built on the Mosaic semantic model "Stress PFE Data Model" over Databricks. It is </w:t>
      </w:r>
      <w:r>
        <w:rPr>
          <w:b/>
          <w:bCs/>
        </w:rPr>
        <w:t xml:space="preserve">per-line</w:t>
      </w:r>
      <w:r>
        <w:t xml:space="preserve"> (one line at a time), driven by cascading Borrower→Line selectors. Each visualization answers one business question; the cards and their questions are summarized in the layout in Section 4.</w:t>
      </w:r>
    </w:p>
    <w:p>
      <w:pPr>
        <w:spacing w:after="120" w:line="264"/>
      </w:pPr>
      <w:r>
        <w:t xml:space="preserve">Two design choices recur throughout and are worth stating once. </w:t>
      </w:r>
      <w:r>
        <w:rPr>
          <w:b/>
          <w:bCs/>
        </w:rPr>
        <w:t xml:space="preserve">Dollars aggregate as Sum, ratios/percentages as Max</w:t>
      </w:r>
      <w:r>
        <w:t xml:space="preserve"> (summing a percentage is meaningless). And the </w:t>
      </w:r>
      <w:r>
        <w:rPr>
          <w:b/>
          <w:bCs/>
        </w:rPr>
        <w:t xml:space="preserve">wide→long unpivot view</w:t>
      </w:r>
      <w:r>
        <w:t xml:space="preserve"> (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vw_asts_bucket_pivot</w:t>
      </w:r>
      <w:r>
        <w:t xml:space="preserve">) is what makes the maturity-profile charts possible — it turns the six bucket columns into a Time Bucket attribute and a Series attribute, which is what the charts put on their axes and colour-by.</w:t>
      </w:r>
    </w:p>
    <w:p>
      <w:pPr>
        <w:pStyle w:val="Heading1"/>
      </w:pPr>
      <w:r>
        <w:t xml:space="preserve">2. Prerequisites</w:t>
      </w:r>
    </w:p>
    <w:p>
      <w:pPr>
        <w:spacing w:after="120" w:line="264"/>
      </w:pPr>
      <w:r>
        <w:t xml:space="preserve">Build these before any visual. Most cards simply place objects that must already exist in the model.</w:t>
      </w:r>
    </w:p>
    <w:p>
      <w:pPr>
        <w:pStyle w:val="Heading2"/>
      </w:pPr>
      <w:r>
        <w:t xml:space="preserve">2.1 Databricks views / tables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`vw_asts_bucket_pivot`</w:t>
      </w:r>
      <w:r>
        <w:t xml:space="preserve"> — wide→long unpivot. Emits: line, long_name, business_date, scenario, </w:t>
      </w:r>
      <w:r>
        <w:rPr>
          <w:b/>
          <w:bCs/>
        </w:rPr>
        <w:t xml:space="preserve">series</w:t>
      </w:r>
      <w:r>
        <w:t xml:space="preserve">, </w:t>
      </w:r>
      <w:r>
        <w:rPr>
          <w:b/>
          <w:bCs/>
        </w:rPr>
        <w:t xml:space="preserve">time_bucket</w:t>
      </w:r>
      <w:r>
        <w:t xml:space="preserve">, </w:t>
      </w:r>
      <w:r>
        <w:rPr>
          <w:b/>
          <w:bCs/>
        </w:rPr>
        <w:t xml:space="preserve">bucket_order</w:t>
      </w:r>
      <w:r>
        <w:t xml:space="preserve">, </w:t>
      </w:r>
      <w:r>
        <w:rPr>
          <w:b/>
          <w:bCs/>
        </w:rPr>
        <w:t xml:space="preserve">value</w:t>
      </w:r>
      <w:r>
        <w:t xml:space="preserve">, current_value, change_vs_current (and limit_value once the Limit-line tweak in 5.5 is applied).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`vw_asts_largest_breach`</w:t>
      </w:r>
      <w:r>
        <w:t xml:space="preserve"> — one row per line: bucket_of_largest_breach, scenario_of_largest_breach, stressed_exposure, limit, current_exposure, excess_amount, excess_pct. </w:t>
      </w:r>
      <w:r>
        <w:rPr>
          <w:i/>
          <w:iCs/>
        </w:rPr>
        <w:t xml:space="preserve">(Line Expiry Date is </w:t>
      </w:r>
      <w:r>
        <w:rPr>
          <w:i/>
          <w:iCs/>
        </w:rPr>
        <w:t xml:space="preserve">not</w:t>
      </w:r>
      <w:r>
        <w:rPr>
          <w:i/>
          <w:iCs/>
        </w:rPr>
        <w:t xml:space="preserve"> in this view — it is sourced from the `asts` table via the model relationship in §2.3.)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`scenario_display_xref`</w:t>
      </w:r>
      <w:r>
        <w:t xml:space="preserve"> — maps engine codes to descriptive scenario names (blueprint placeholder; validate against the scenario dictionary).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`breach_commentary`</w:t>
      </w:r>
      <w:r>
        <w:t xml:space="preserve"> — Delta table for the write-back commentary (Section 5.8). You will create this.</w:t>
      </w:r>
    </w:p>
    <w:p>
      <w:pPr>
        <w:spacing w:after="120" w:line="264"/>
      </w:pPr>
      <w:r>
        <w:t xml:space="preserve">(Full SQL for the first three lives in the separate build-notes document; the new pieces are inline in Sections 5.5 and 5.8.)</w:t>
      </w:r>
    </w:p>
    <w:p>
      <w:pPr>
        <w:pStyle w:val="Heading2"/>
      </w:pPr>
      <w:r>
        <w:t xml:space="preserve">2.2 Model objects to confirm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Attributes:</w:t>
      </w:r>
      <w:r>
        <w:t xml:space="preserve"> Line (the hub), Long Name, Worst Rating, Line Type, Line Currency, </w:t>
      </w:r>
      <w:r>
        <w:rPr>
          <w:b/>
          <w:bCs/>
        </w:rPr>
        <w:t xml:space="preserve">Time Bucket</w:t>
      </w:r>
      <w:r>
        <w:t xml:space="preserve"> (with a </w:t>
      </w:r>
      <w:r>
        <w:rPr>
          <w:b/>
          <w:bCs/>
        </w:rPr>
        <w:t xml:space="preserve">bucket_order</w:t>
      </w:r>
      <w:r>
        <w:t xml:space="preserve"> sort form), </w:t>
      </w:r>
      <w:r>
        <w:rPr>
          <w:b/>
          <w:bCs/>
        </w:rPr>
        <w:t xml:space="preserve">Series</w:t>
      </w:r>
      <w:r>
        <w:t xml:space="preserve">, Scenario, Business Date, </w:t>
      </w:r>
      <w:r>
        <w:rPr>
          <w:b/>
          <w:bCs/>
        </w:rPr>
        <w:t xml:space="preserve">Line Expiry Date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Metrics:</w:t>
      </w:r>
      <w:r>
        <w:t xml:space="preserve"> the eight scenario-max metrics (renamed — see Section 3), </w:t>
      </w:r>
      <w:r>
        <w:rPr>
          <w:b/>
          <w:bCs/>
        </w:rPr>
        <w:t xml:space="preserve">Value</w:t>
      </w:r>
      <w:r>
        <w:t xml:space="preserve"> (agg </w:t>
      </w:r>
      <w:r>
        <w:rPr>
          <w:b/>
          <w:bCs/>
        </w:rPr>
        <w:t xml:space="preserve">MAX</w:t>
      </w:r>
      <w:r>
        <w:t xml:space="preserve">), current_value, change_vs_current, limit_value, Max of All, Percentage of Impact, and the breach-grid fields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vw_asts_largest_breach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Aggregation:</w:t>
      </w:r>
      <w:r>
        <w:t xml:space="preserve"> dollar metrics → </w:t>
      </w:r>
      <w:r>
        <w:rPr>
          <w:b/>
          <w:bCs/>
        </w:rPr>
        <w:t xml:space="preserve">Sum</w:t>
      </w:r>
      <w:r>
        <w:t xml:space="preserve"> for portfolio roll-up; ratios/percentages → </w:t>
      </w:r>
      <w:r>
        <w:rPr>
          <w:b/>
          <w:bCs/>
        </w:rPr>
        <w:t xml:space="preserve">Max</w:t>
      </w:r>
      <w:r>
        <w:t xml:space="preserve">; </w:t>
      </w:r>
      <w:r>
        <w:rPr>
          <w:b/>
          <w:bCs/>
        </w:rPr>
        <w:t xml:space="preserve">Value</w:t>
      </w:r>
      <w:r>
        <w:t xml:space="preserve"> is </w:t>
      </w:r>
      <w:r>
        <w:rPr>
          <w:b/>
          <w:bCs/>
        </w:rPr>
        <w:t xml:space="preserve">MAX</w:t>
      </w:r>
      <w:r>
        <w:t xml:space="preserve"> on the single-line views.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Time Bucket sort:</w:t>
      </w:r>
      <w:r>
        <w:t xml:space="preserve"> Forms tab → add </w:t>
      </w:r>
      <w:r>
        <w:rPr>
          <w:b/>
          <w:bCs/>
        </w:rPr>
        <w:t xml:space="preserve">bucket_order</w:t>
      </w:r>
      <w:r>
        <w:t xml:space="preserve"> as a form of Time Bucket → Display &amp; Sort → sort by Bucket Order ascending. (Cleanest: make bucket_order the </w:t>
      </w:r>
      <w:r>
        <w:rPr>
          <w:b/>
          <w:bCs/>
        </w:rPr>
        <w:t xml:space="preserve">ID form</w:t>
      </w:r>
      <w:r>
        <w:t xml:space="preserve"> and time_bucket the </w:t>
      </w:r>
      <w:r>
        <w:rPr>
          <w:b/>
          <w:bCs/>
        </w:rPr>
        <w:t xml:space="preserve">description form</w:t>
      </w:r>
      <w:r>
        <w:t xml:space="preserve">.) Without this the x-axis sorts alphabetically (0-3, 1-2, 10-50, 2-5…).</w:t>
      </w:r>
    </w:p>
    <w:p>
      <w:pPr>
        <w:pStyle w:val="Heading2"/>
      </w:pPr>
      <w:r>
        <w:t xml:space="preserve">2.3 The Line ↔ Line Expiry relationship (avoids the Cartesian)</w:t>
      </w:r>
    </w:p>
    <w:p>
      <w:pPr>
        <w:spacing w:after="120" w:line="264"/>
      </w:pPr>
      <w:r>
        <w:t xml:space="preserve">The breach grid shows Line Expiry. The earlier Cartesian/fan-out came from pulling it off the many-rows-per-line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 table with no join path, while the grid is one-row-per-line. </w:t>
      </w:r>
      <w:r>
        <w:rPr>
          <w:b/>
          <w:bCs/>
        </w:rPr>
        <w:t xml:space="preserve">The fix is to model the join and source Line Expiry Date from the actual `asts` table — not from a view, and without adding any `line_expiry` column to `vw_asts_largest_breach`.</w:t>
      </w:r>
      <w:r>
        <w:t xml:space="preserve"> The views stay untouched; the relationship carries the expiry across.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What to do:</w:t>
      </w:r>
      <w:r>
        <w:t xml:space="preserve"> make </w:t>
      </w:r>
      <w:r>
        <w:rPr>
          <w:b/>
          <w:bCs/>
        </w:rPr>
        <w:t xml:space="preserve">Line</w:t>
      </w:r>
      <w:r>
        <w:t xml:space="preserve"> a single logical attribute mapped to </w:t>
      </w:r>
      <w:r>
        <w:rPr>
          <w:i/>
          <w:iCs/>
        </w:rPr>
        <w:t xml:space="preserve">both</w:t>
      </w:r>
      <w:r>
        <w:t xml:space="preserve"> the view and the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 table, and define </w:t>
      </w:r>
      <w:r>
        <w:rPr>
          <w:b/>
          <w:bCs/>
        </w:rPr>
        <w:t xml:space="preserve">Line Expiry Date</w:t>
      </w:r>
      <w:r>
        <w:t xml:space="preserve"> as an attribute </w:t>
      </w:r>
      <w:r>
        <w:rPr>
          <w:b/>
          <w:bCs/>
        </w:rPr>
        <w:t xml:space="preserve">related to Line</w:t>
      </w:r>
      <w:r>
        <w:t xml:space="preserve"> (1:1) whose </w:t>
      </w:r>
      <w:r>
        <w:rPr>
          <w:b/>
          <w:bCs/>
        </w:rPr>
        <w:t xml:space="preserve">source is the `asts` table</w:t>
      </w:r>
      <w:r>
        <w:t xml:space="preserve">. Strategy then joins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 to the view on </w:t>
      </w:r>
      <w:r>
        <w:rPr>
          <w:b/>
          <w:bCs/>
        </w:rPr>
        <w:t xml:space="preserve">Line</w:t>
      </w:r>
      <w:r>
        <w:t xml:space="preserve"> and resolves one expiry per line (an attribute lookup runs a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SELECT DISTINCT</w:t>
      </w:r>
      <w:r>
        <w:t xml:space="preserve">), so there is no Cartesian and the visualization-level dedupe is unnecessary.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t xml:space="preserve">*</w:t>
      </w:r>
      <w:r>
        <w:rPr>
          <w:i/>
          <w:iCs/>
        </w:rPr>
        <w:t xml:space="preserve">What </w:t>
      </w:r>
      <w:r>
        <w:t xml:space="preserve">not</w:t>
      </w:r>
      <w:r>
        <w:rPr>
          <w:i/>
          <w:iCs/>
        </w:rPr>
        <w:t xml:space="preserve"> to do:</w:t>
      </w:r>
      <w:r>
        <w:t xml:space="preserve">* don't add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line_expiry</w:t>
      </w:r>
      <w:r>
        <w:t xml:space="preserve"> into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vw_asts_largest_breach</w:t>
      </w:r>
      <w:r>
        <w:t xml:space="preserve">, and don't build a separate lookup view. Keep the views as they are and let the model relationship bring the expiry across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6E8E" w:sz="18"/>
              <w:bottom w:val="none"/>
              <w:right w:val="none"/>
            </w:tcBorders>
            <w:shd w:fill="E6EEF3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Why this works without fan-out:</w:t>
            </w:r>
            <w:r>
              <w:t xml:space="preserve"> because Line Expiry Date is modelled as an attribute </w:t>
            </w:r>
            <w:r>
              <w:rPr>
                <w:i/>
                <w:iCs/>
              </w:rPr>
              <w:t xml:space="preserve">of Line</w:t>
            </w:r>
            <w:r>
              <w:t xml:space="preserve"> sourced from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asts</w:t>
            </w:r>
            <w:r>
              <w:t xml:space="preserve">, Strategy pulls a distinct Line→Expiry mapping for the lookup and joins the fact rows on Line — the many scenario rows per line collapse to one expiry. </w:t>
            </w:r>
            <w:r>
              <w:rPr>
                <w:b/>
                <w:bCs/>
              </w:rPr>
              <w:t xml:space="preserve">Caveat:</w:t>
            </w:r>
            <w:r>
              <w:t xml:space="preserve"> this assumes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asts</w:t>
            </w:r>
            <w:r>
              <w:t xml:space="preserve"> holds a single expiry per line; if data-quality variants make that untrue, resolve them at source — the model cannot choose between two different expiries for the same line.</w:t>
            </w:r>
          </w:p>
        </w:tc>
      </w:tr>
    </w:tbl>
    <w:p>
      <w:pPr>
        <w:pStyle w:val="Heading3"/>
      </w:pPr>
      <w:r>
        <w:t xml:space="preserve">2.3.1  Detailed model steps — Line Expiry Date (sourced from asts)</w:t>
      </w:r>
    </w:p>
    <w:p>
      <w:pPr>
        <w:spacing w:after="120" w:line="264"/>
      </w:pPr>
      <w:r>
        <w:t xml:space="preserve">Both options source Line Expiry Date from the </w:t>
      </w:r>
      <w:r>
        <w:rPr>
          <w:b/>
          <w:bCs/>
        </w:rPr>
        <w:t xml:space="preserve">`asts`</w:t>
      </w:r>
      <w:r>
        <w:t xml:space="preserve"> table itself and let the </w:t>
      </w:r>
      <w:r>
        <w:rPr>
          <w:b/>
          <w:bCs/>
        </w:rPr>
        <w:t xml:space="preserve">Line</w:t>
      </w:r>
      <w:r>
        <w:t xml:space="preserve"> relationship carry it onto the grid — </w:t>
      </w:r>
      <w:r>
        <w:rPr>
          <w:b/>
          <w:bCs/>
        </w:rPr>
        <w:t xml:space="preserve">no view change, no lookup view</w:t>
      </w:r>
      <w:r>
        <w:t xml:space="preserve">.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 stores the expiry as a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YYYYMMDD</w:t>
      </w:r>
      <w:r>
        <w:t xml:space="preserve"> integer, so convert it inside the form/attribute expression (an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ApplySimple</w:t>
      </w:r>
      <w:r>
        <w:t xml:space="preserve"> expression), e.g.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to_date(cast(Line_Expiry as string),'yyyyMMdd')</w:t>
      </w:r>
      <w:r>
        <w:t xml:space="preserve">.</w:t>
      </w:r>
    </w:p>
    <w:p>
      <w:pPr>
        <w:spacing w:after="80"/>
      </w:pPr>
      <w:r>
        <w:t xml:space="preserve"/>
      </w:r>
    </w:p>
    <w:p>
      <w:pPr>
        <w:spacing w:after="120" w:line="264"/>
      </w:pPr>
      <w:r>
        <w:t xml:space="preserve">*</w:t>
      </w:r>
      <w:r>
        <w:rPr>
          <w:i/>
          <w:iCs/>
        </w:rPr>
        <w:t xml:space="preserve">Option B1 — Line Expiry Date as an attribute </w:t>
      </w:r>
      <w:r>
        <w:t xml:space="preserve">form</w:t>
      </w:r>
      <w:r>
        <w:rPr>
          <w:i/>
          <w:iCs/>
        </w:rPr>
        <w:t xml:space="preserve"> of Line (simplest; no separate join):</w:t>
      </w:r>
      <w:r>
        <w:t xml:space="preserve">*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t xml:space="preserve">Open the "Stress PFE Data Model" in Workstation (or Architect).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t xml:space="preserve">Select the </w:t>
      </w:r>
      <w:r>
        <w:rPr>
          <w:b/>
          <w:bCs/>
        </w:rPr>
        <w:t xml:space="preserve">Line</w:t>
      </w:r>
      <w:r>
        <w:t xml:space="preserve"> attribute → </w:t>
      </w:r>
      <w:r>
        <w:rPr>
          <w:b/>
          <w:bCs/>
        </w:rPr>
        <w:t xml:space="preserve">Edit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rPr>
          <w:b/>
          <w:bCs/>
        </w:rPr>
        <w:t xml:space="preserve">Forms</w:t>
      </w:r>
      <w:r>
        <w:t xml:space="preserve"> tab → </w:t>
      </w:r>
      <w:r>
        <w:rPr>
          <w:b/>
          <w:bCs/>
        </w:rPr>
        <w:t xml:space="preserve">Add</w:t>
      </w:r>
      <w:r>
        <w:t xml:space="preserve"> a form, name it </w:t>
      </w:r>
      <w:r>
        <w:rPr>
          <w:b/>
          <w:bCs/>
        </w:rPr>
        <w:t xml:space="preserve">Expiry Date</w:t>
      </w:r>
      <w:r>
        <w:t xml:space="preserve">; set its data type / format to </w:t>
      </w:r>
      <w:r>
        <w:rPr>
          <w:b/>
          <w:bCs/>
        </w:rPr>
        <w:t xml:space="preserve">Date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t xml:space="preserve">Map the form's expression to </w:t>
      </w:r>
      <w:r>
        <w:rPr>
          <w:b/>
          <w:bCs/>
        </w:rPr>
        <w:t xml:space="preserve">`asts`</w:t>
      </w:r>
      <w:r>
        <w:t xml:space="preserve">'s expiry column with the conversion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to_date(cast(Line_Expiry as string),'yyyyMMdd')</w:t>
      </w:r>
      <w:r>
        <w:t xml:space="preserve"> (ApplySimple), and set its </w:t>
      </w:r>
      <w:r>
        <w:rPr>
          <w:b/>
          <w:bCs/>
        </w:rPr>
        <w:t xml:space="preserve">source table</w:t>
      </w:r>
      <w:r>
        <w:t xml:space="preserve"> to </w:t>
      </w:r>
      <w:r>
        <w:rPr>
          <w:b/>
          <w:bCs/>
        </w:rPr>
        <w:t xml:space="preserve">`asts`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t xml:space="preserve">Set the form category to a </w:t>
      </w:r>
      <w:r>
        <w:rPr>
          <w:b/>
          <w:bCs/>
        </w:rPr>
        <w:t xml:space="preserve">descriptor</w:t>
      </w:r>
      <w:r>
        <w:t xml:space="preserve"> (not ID). </w:t>
      </w:r>
      <w:r>
        <w:rPr>
          <w:b/>
          <w:bCs/>
        </w:rPr>
        <w:t xml:space="preserve">Save</w:t>
      </w:r>
      <w:r>
        <w:t xml:space="preserve"> the model.</w:t>
      </w:r>
    </w:p>
    <w:p>
      <w:pPr>
        <w:pStyle w:val="ListParagraph"/>
        <w:numPr>
          <w:ilvl w:val="0"/>
          <w:numId w:val="3"/>
        </w:numPr>
        <w:spacing w:after="60" w:line="260"/>
      </w:pPr>
      <w:r>
        <w:t xml:space="preserve">In the breach grid, display Line's </w:t>
      </w:r>
      <w:r>
        <w:rPr>
          <w:b/>
          <w:bCs/>
        </w:rPr>
        <w:t xml:space="preserve">Expiry Date</w:t>
      </w:r>
      <w:r>
        <w:t xml:space="preserve"> form. Being a form of Line it travels </w:t>
      </w:r>
      <w:r>
        <w:rPr>
          <w:i/>
          <w:iCs/>
        </w:rPr>
        <w:t xml:space="preserve">with</w:t>
      </w:r>
      <w:r>
        <w:t xml:space="preserve"> Line — there is no separate join, so no fan-out is even possible.</w:t>
      </w:r>
    </w:p>
    <w:p>
      <w:pPr>
        <w:spacing w:after="120"/>
      </w:pPr>
      <w:r>
        <w:rPr>
          <w:i/>
          <w:iCs/>
        </w:rPr>
        <w:t xml:space="preserve">Why this is cleanest:</w:t>
      </w:r>
      <w:r>
        <w:t xml:space="preserve"> a form is 1:1 with the attribute ID by definition, so there is literally nothing to fan out.</w:t>
      </w:r>
    </w:p>
    <w:p>
      <w:pPr>
        <w:spacing w:after="120" w:line="264"/>
      </w:pPr>
      <w:r>
        <w:rPr>
          <w:b/>
          <w:bCs/>
        </w:rPr>
        <w:t xml:space="preserve">Option B2 — Line Expiry Date as a separate attribute related 1:1 to Line</w:t>
      </w:r>
      <w:r>
        <w:t xml:space="preserve"> (use only if you need to filter or group by expiry as its own object):</w:t>
      </w:r>
    </w:p>
    <w:p>
      <w:pPr>
        <w:pStyle w:val="ListParagraph"/>
        <w:numPr>
          <w:ilvl w:val="0"/>
          <w:numId w:val="4"/>
        </w:numPr>
        <w:spacing w:after="60" w:line="260"/>
      </w:pPr>
      <w:r>
        <w:t xml:space="preserve">Create a new attribute </w:t>
      </w:r>
      <w:r>
        <w:rPr>
          <w:b/>
          <w:bCs/>
        </w:rPr>
        <w:t xml:space="preserve">Line Expiry Date</w:t>
      </w:r>
      <w:r>
        <w:t xml:space="preserve">; set its </w:t>
      </w:r>
      <w:r>
        <w:rPr>
          <w:b/>
          <w:bCs/>
        </w:rPr>
        <w:t xml:space="preserve">ID form</w:t>
      </w:r>
      <w:r>
        <w:t xml:space="preserve"> to the converted expiry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to_date(cast(Line_Expiry as string),'yyyyMMdd')</w:t>
      </w:r>
      <w:r>
        <w:t xml:space="preserve">, sourced from the </w:t>
      </w:r>
      <w:r>
        <w:rPr>
          <w:b/>
          <w:bCs/>
        </w:rPr>
        <w:t xml:space="preserve">`asts`</w:t>
      </w:r>
      <w:r>
        <w:t xml:space="preserve"> table.</w:t>
      </w:r>
    </w:p>
    <w:p>
      <w:pPr>
        <w:pStyle w:val="ListParagraph"/>
        <w:numPr>
          <w:ilvl w:val="0"/>
          <w:numId w:val="4"/>
        </w:numPr>
        <w:spacing w:after="60" w:line="260"/>
      </w:pPr>
      <w:r>
        <w:t xml:space="preserve">Set the attribute's </w:t>
      </w:r>
      <w:r>
        <w:rPr>
          <w:b/>
          <w:bCs/>
        </w:rPr>
        <w:t xml:space="preserve">lookup table</w:t>
      </w:r>
      <w:r>
        <w:t xml:space="preserve"> to </w:t>
      </w:r>
      <w:r>
        <w:rPr>
          <w:b/>
          <w:bCs/>
        </w:rPr>
        <w:t xml:space="preserve">`asts`</w:t>
      </w:r>
      <w:r>
        <w:t xml:space="preserve"> — Strategy's attribute lookup runs a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SELECT DISTINCT</w:t>
      </w:r>
      <w:r>
        <w:t xml:space="preserve">, collapsing the many scenario rows per line to one expiry.</w:t>
      </w:r>
    </w:p>
    <w:p>
      <w:pPr>
        <w:pStyle w:val="ListParagraph"/>
        <w:numPr>
          <w:ilvl w:val="0"/>
          <w:numId w:val="4"/>
        </w:numPr>
        <w:spacing w:after="60" w:line="260"/>
      </w:pPr>
      <w:r>
        <w:t xml:space="preserve">Define the </w:t>
      </w:r>
      <w:r>
        <w:rPr>
          <w:b/>
          <w:bCs/>
        </w:rPr>
        <w:t xml:space="preserve">relationship</w:t>
      </w:r>
      <w:r>
        <w:t xml:space="preserve">: </w:t>
      </w:r>
      <w:r>
        <w:rPr>
          <w:b/>
          <w:bCs/>
        </w:rPr>
        <w:t xml:space="preserve">Line = parent, Line Expiry Date = child, cardinality one-to-one</w:t>
      </w:r>
      <w:r>
        <w:t xml:space="preserve"> (each Line resolves to exactly one expiry). In Architect, draw the relationship Line → Line Expiry Date and set it 1:1; in Workstation, add it on the attribute's Parents / Children.</w:t>
      </w:r>
    </w:p>
    <w:p>
      <w:pPr>
        <w:pStyle w:val="ListParagraph"/>
        <w:numPr>
          <w:ilvl w:val="0"/>
          <w:numId w:val="4"/>
        </w:numPr>
        <w:spacing w:after="60" w:line="260"/>
      </w:pPr>
      <w:r>
        <w:t xml:space="preserve">Confirm both Line and Line Expiry Date map to the same lookup so Strategy joins them on Line. </w:t>
      </w:r>
      <w:r>
        <w:rPr>
          <w:b/>
          <w:bCs/>
        </w:rPr>
        <w:t xml:space="preserve">Save.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C8841A" w:sz="18"/>
              <w:bottom w:val="none"/>
              <w:right w:val="none"/>
            </w:tcBorders>
            <w:shd w:fill="FBF3E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60"/>
            </w:pPr>
            <w:r>
              <w:t xml:space="preserve">After either option, </w:t>
            </w:r>
            <w:r>
              <w:rPr>
                <w:b/>
                <w:bCs/>
              </w:rPr>
              <w:t xml:space="preserve">remove any visualization-level "remove duplicates" rule</w:t>
            </w:r>
            <w:r>
              <w:t xml:space="preserve"> on the breach grid — it is no longer needed. </w:t>
            </w:r>
            <w:r>
              <w:rPr>
                <w:b/>
                <w:bCs/>
              </w:rPr>
              <w:t xml:space="preserve">Gotcha: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asts</w:t>
            </w:r>
            <w:r>
              <w:t xml:space="preserve"> must hold a single expiry per line; the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SELECT DISTINCT</w:t>
            </w:r>
            <w:r>
              <w:t xml:space="preserve"> lookup will collapse identical rows, but if a line genuinely has two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Line_Expiry</w:t>
            </w:r>
            <w:r>
              <w:t xml:space="preserve"> values (a data-quality variant), resolve it at source — otherwise the 1:1 assumption breaks.</w:t>
            </w:r>
          </w:p>
        </w:tc>
      </w:tr>
    </w:tbl>
    <w:p>
      <w:pPr>
        <w:pStyle w:val="Heading2"/>
      </w:pPr>
      <w:r>
        <w:t xml:space="preserve">2.4 Measure types, aggregation &amp; methodology</w:t>
      </w:r>
    </w:p>
    <w:p>
      <w:pPr>
        <w:spacing w:after="120" w:line="264"/>
      </w:pPr>
      <w:r>
        <w:rPr>
          <w:b/>
          <w:bCs/>
        </w:rPr>
        <w:t xml:space="preserve">(a) Aggregation per metric (the "measure type").</w:t>
      </w:r>
      <w:r>
        <w:t xml:space="preserve"> Set each metric's aggregation function as below — the rule of thumb is </w:t>
      </w:r>
      <w:r>
        <w:rPr>
          <w:i/>
          <w:iCs/>
        </w:rPr>
        <w:t xml:space="preserve">dollars Sum, ratios / percentages Max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Metric(s)</w:t>
            </w:r>
          </w:p>
        </w:tc>
        <w:tc>
          <w:tcPr>
            <w:tcW w:type="dxa" w:w="1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Aggregation</w:t>
            </w:r>
          </w:p>
        </w:tc>
        <w:tc>
          <w:tcPr>
            <w:tcW w:type="dxa" w:w="3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Why</w:t>
            </w:r>
          </w:p>
        </w:tc>
      </w:tr>
      <w:tr>
        <w:tc>
          <w:tcPr>
            <w:tcW w:type="dxa" w:w="4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Dollar exposures rolled to a portfolio (summing across lines)</w:t>
            </w:r>
          </w:p>
        </w:tc>
        <w:tc>
          <w:tcPr>
            <w:tcW w:type="dxa" w:w="1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Sum</w:t>
            </w:r>
          </w:p>
        </w:tc>
        <w:tc>
          <w:tcPr>
            <w:tcW w:type="dxa" w:w="3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Additive across counterparties / lines.</w:t>
            </w:r>
          </w:p>
        </w:tc>
      </w:tr>
      <w:tr>
        <w:tc>
          <w:tcPr>
            <w:tcW w:type="dxa" w:w="4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Value, current_value, change_vs_current, limit_value (single-line views)</w:t>
            </w:r>
          </w:p>
        </w:tc>
        <w:tc>
          <w:tcPr>
            <w:tcW w:type="dxa" w:w="1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Max</w:t>
            </w:r>
          </w:p>
        </w:tc>
        <w:tc>
          <w:tcPr>
            <w:tcW w:type="dxa" w:w="3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One value per line × bucket × series; Max is null-safe and collapses any leftover duplicate rows.</w:t>
            </w:r>
          </w:p>
        </w:tc>
      </w:tr>
      <w:tr>
        <w:tc>
          <w:tcPr>
            <w:tcW w:type="dxa" w:w="4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Percentage of Impact, excess_pct (ratios / %)</w:t>
            </w:r>
          </w:p>
        </w:tc>
        <w:tc>
          <w:tcPr>
            <w:tcW w:type="dxa" w:w="1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Max</w:t>
            </w:r>
          </w:p>
        </w:tc>
        <w:tc>
          <w:tcPr>
            <w:tcW w:type="dxa" w:w="3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Never sum a percentage.</w:t>
            </w:r>
          </w:p>
        </w:tc>
      </w:tr>
    </w:tbl>
    <w:p>
      <w:pPr>
        <w:spacing w:after="120" w:line="264"/>
      </w:pPr>
      <w:r>
        <w:t xml:space="preserve">On the per-line tearsheet the dollar metrics behave as Max too (one line at a time); </w:t>
      </w:r>
      <w:r>
        <w:rPr>
          <w:b/>
          <w:bCs/>
        </w:rPr>
        <w:t xml:space="preserve">Sum</w:t>
      </w:r>
      <w:r>
        <w:t xml:space="preserve"> is what matters when you roll up to a portfolio page.</w:t>
      </w:r>
    </w:p>
    <w:p>
      <w:pPr>
        <w:spacing w:after="120" w:line="264"/>
      </w:pPr>
      <w:r>
        <w:rPr>
          <w:b/>
          <w:bCs/>
        </w:rPr>
        <w:t xml:space="preserve">(b) Methodology — the "largest breach" ranking.</w:t>
      </w:r>
      <w:r>
        <w:t xml:space="preserve">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vw_asts_largest_breach</w:t>
      </w:r>
      <w:r>
        <w:t xml:space="preserve"> ranks breaches by </w:t>
      </w:r>
      <w:r>
        <w:rPr>
          <w:b/>
          <w:bCs/>
        </w:rPr>
        <w:t xml:space="preserve">excess amount</w:t>
      </w:r>
      <w:r>
        <w:t xml:space="preserve"> (stressed − limit, the dollar overage) descending and keeps the top one per line. If your methodology defines "largest breach" by </w:t>
      </w:r>
      <w:r>
        <w:rPr>
          <w:b/>
          <w:bCs/>
        </w:rPr>
        <w:t xml:space="preserve">excess %</w:t>
      </w:r>
      <w:r>
        <w:t xml:space="preserve"> instead, change the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ROW_NUMBER()</w:t>
      </w:r>
      <w:r>
        <w:t xml:space="preserve">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ORDER BY</w:t>
      </w:r>
      <w:r>
        <w:t xml:space="preserve">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(stressed_exposure - limit_value) DESC</w:t>
      </w:r>
      <w:r>
        <w:t xml:space="preserve"> to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excess_pct DESC</w:t>
      </w:r>
      <w:r>
        <w:t xml:space="preserve">. That single line is the methodology switch — set it deliberately, because it changes which bucket / scenario the grid reports.</w:t>
      </w:r>
    </w:p>
    <w:p>
      <w:pPr>
        <w:pStyle w:val="Heading2"/>
      </w:pPr>
      <w:r>
        <w:t xml:space="preserve">2.5 Adding a view to the model — attribute merges &amp; the Scenario fan-out trap</w:t>
      </w:r>
    </w:p>
    <w:p>
      <w:pPr>
        <w:spacing w:after="120" w:line="264"/>
      </w:pPr>
      <w:r>
        <w:t xml:space="preserve">When you add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vw_asts_bucket_pivot</w:t>
      </w:r>
      <w:r>
        <w:t xml:space="preserve"> (or the breach view) to the model, Strategy asks how each incoming column maps. Get these right: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Merge into existing attributes:</w:t>
      </w:r>
      <w:r>
        <w:t xml:space="preserve"> </w:t>
      </w:r>
      <w:r>
        <w:rPr>
          <w:b/>
          <w:bCs/>
        </w:rPr>
        <w:t xml:space="preserve">Line</w:t>
      </w:r>
      <w:r>
        <w:t xml:space="preserve"> (the join hub — must be the </w:t>
      </w:r>
      <w:r>
        <w:rPr>
          <w:i/>
          <w:iCs/>
        </w:rPr>
        <w:t xml:space="preserve">same</w:t>
      </w:r>
      <w:r>
        <w:t xml:space="preserve"> attribute), </w:t>
      </w:r>
      <w:r>
        <w:rPr>
          <w:b/>
          <w:bCs/>
        </w:rPr>
        <w:t xml:space="preserve">Business Date</w:t>
      </w:r>
      <w:r>
        <w:t xml:space="preserve"> (so one global date filter governs the page), </w:t>
      </w:r>
      <w:r>
        <w:rPr>
          <w:b/>
          <w:bCs/>
        </w:rPr>
        <w:t xml:space="preserve">Long Name</w:t>
      </w:r>
      <w:r>
        <w:t xml:space="preserve"> (description of Line).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Keep NEW / standalone:</w:t>
      </w:r>
      <w:r>
        <w:t xml:space="preserve"> </w:t>
      </w:r>
      <w:r>
        <w:rPr>
          <w:b/>
          <w:bCs/>
        </w:rPr>
        <w:t xml:space="preserve">Series</w:t>
      </w:r>
      <w:r>
        <w:t xml:space="preserve">, </w:t>
      </w:r>
      <w:r>
        <w:rPr>
          <w:b/>
          <w:bCs/>
        </w:rPr>
        <w:t xml:space="preserve">Time Bucket</w:t>
      </w:r>
      <w:r>
        <w:t xml:space="preserve">, and the </w:t>
      </w:r>
      <w:r>
        <w:rPr>
          <w:b/>
          <w:bCs/>
        </w:rPr>
        <w:t xml:space="preserve">Value</w:t>
      </w:r>
      <w:r>
        <w:t xml:space="preserve"> metric — don't merge them into anything.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Do NOT merge Scenario.</w:t>
      </w:r>
      <w:r>
        <w:t xml:space="preserve"> Fan-out trap: the bucket-pivot view is ~60 rows/line (6 buckets × ~10 series) while detailed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 is 8 rows/line. Joined on Line alone they cross-multiply (~60×8). Keep the hero chart sourced purely from bucket-pivot objects (Time Bucket, Series, Value) so Strategy queries one table — no join, no fan-out.</w:t>
      </w:r>
    </w:p>
    <w:p>
      <w:pPr>
        <w:pStyle w:val="Heading1"/>
      </w:pPr>
      <w:r>
        <w:t xml:space="preserve">3. Field renames performed</w:t>
      </w:r>
    </w:p>
    <w:p>
      <w:pPr>
        <w:spacing w:after="120" w:line="264"/>
      </w:pPr>
      <w:r>
        <w:t xml:space="preserve">These renames were applied during the build (they are local display aliases unless noted):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4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Original / raw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Display name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E3F1E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Where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Header card title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"stress PFE" (placeholder)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Counterparty Tearsheet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Header card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Scenario metric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Cartor Maximum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Base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Scenario-maxima bars (Viz 1)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Scenario metric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Zero…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Zero-Corr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Viz 1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Scenario metrics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Correlation 0.25 / 0.75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0.25 / 0.75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Viz 1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Scenario metrics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STRMARKETC75 / Corr 1.0 / Prod / STRMPR025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STR75 / 1.0 / Prod / STRMPR025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Viz 1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Series (in data)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engine codes (ZeroCorrelation…)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descriptive names (Volatility &amp; Correlation-0/-1, …)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via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scenario_display_xref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KPI metric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Percentage of Impact = 1489.469405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"1,489%" (0 dp + % sign) or 14.9×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KPI tile format</w:t>
            </w:r>
          </w:p>
        </w:tc>
      </w:tr>
      <w:tr>
        <w:tc>
          <w:tcPr>
            <w:tcW w:type="dxa" w:w="22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Time Bucket</w:t>
            </w:r>
          </w:p>
        </w:tc>
        <w:tc>
          <w:tcPr>
            <w:tcW w:type="dxa" w:w="30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alphabetical order</w:t>
            </w:r>
          </w:p>
        </w:tc>
        <w:tc>
          <w:tcPr>
            <w:tcW w:type="dxa" w:w="240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sorted by Bucket Order (1–6)</w:t>
            </w:r>
          </w:p>
        </w:tc>
        <w:tc>
          <w:tcPr>
            <w:tcW w:type="dxa" w:w="1760"/>
            <w:tcBorders>
              <w:top w:val="single" w:color="C7D0D5" w:sz="1"/>
              <w:left w:val="single" w:color="C7D0D5" w:sz="1"/>
              <w:bottom w:val="single" w:color="C7D0D5" w:sz="1"/>
              <w:right w:val="single" w:color="C7D0D5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t xml:space="preserve">Time Bucket attribute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C8841A" w:sz="18"/>
              <w:bottom w:val="none"/>
              <w:right w:val="none"/>
            </w:tcBorders>
            <w:shd w:fill="FBF3E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60"/>
            </w:pPr>
            <w:r>
              <w:t xml:space="preserve">The descriptive Series names in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scenario_display_xref</w:t>
            </w:r>
            <w:r>
              <w:t xml:space="preserve"> are a </w:t>
            </w:r>
            <w:r>
              <w:rPr>
                <w:b/>
                <w:bCs/>
              </w:rPr>
              <w:t xml:space="preserve">blueprint placeholder</w:t>
            </w:r>
            <w:r>
              <w:t xml:space="preserve"> read off the sample legend and </w:t>
            </w:r>
            <w:r>
              <w:rPr>
                <w:b/>
                <w:bCs/>
              </w:rPr>
              <w:t xml:space="preserve">not yet validated</w:t>
            </w:r>
            <w:r>
              <w:t xml:space="preserve"> against the scenario dictionary.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ZeroCorrelation → Correlation-0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205072"/>
                <w:sz w:val="18"/>
                <w:szCs w:val="18"/>
              </w:rPr>
              <w:t xml:space="preserve">Correlation_1.0 → Correlation-1</w:t>
            </w:r>
            <w:r>
              <w:t xml:space="preserve"> are confident; the 0.25/0.75 → Intermediate-Market labels and ProdCorrelation → Market Correlation are guesses to confirm.</w:t>
            </w:r>
          </w:p>
        </w:tc>
      </w:tr>
    </w:tbl>
    <w:p>
      <w:pPr>
        <w:pStyle w:val="Heading1"/>
      </w:pPr>
      <w:r>
        <w:t xml:space="preserve">4. Layout overview</w:t>
      </w:r>
    </w:p>
    <w:p>
      <w:pPr>
        <w:spacing w:after="30" w:before="60"/>
        <w:jc w:val="center"/>
      </w:pPr>
      <w:r>
        <w:drawing>
          <wp:inline distT="0" distB="0" distL="0" distR="0">
            <wp:extent cx="4762500" cy="3552825"/>
            <wp:effectExtent t="0" r="0" b="0" l="0"/>
            <wp:docPr id="1" name="The tearsheet layout — each card and the business question it answers." descr="The tearsheet layout — each card and the business question it answers." title="The tearsheet layout — each card and the business question it answ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A82"/>
          <w:sz w:val="17"/>
          <w:szCs w:val="17"/>
        </w:rPr>
        <w:t xml:space="preserve">The tearsheet layout — each card and the business question it answers.</w:t>
      </w:r>
    </w:p>
    <w:p>
      <w:pPr>
        <w:pStyle w:val="Heading1"/>
      </w:pPr>
      <w:r>
        <w:t xml:space="preserve">5. Card-by-card build instructions</w:t>
      </w:r>
    </w:p>
    <w:p>
      <w:pPr>
        <w:pStyle w:val="Heading2"/>
      </w:pPr>
      <w:r>
        <w:t xml:space="preserve">5.1. Header card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Who and what line am I looking at?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Data:</w:t>
      </w:r>
      <w:r>
        <w:t xml:space="preserve"> Long Name (as </w:t>
      </w:r>
      <w:r>
        <w:rPr>
          <w:b/>
          <w:bCs/>
        </w:rPr>
        <w:t xml:space="preserve">Borrower</w:t>
      </w:r>
      <w:r>
        <w:t xml:space="preserve">), Line, Worst Rating (as </w:t>
      </w:r>
      <w:r>
        <w:rPr>
          <w:b/>
          <w:bCs/>
        </w:rPr>
        <w:t xml:space="preserve">Rating</w:t>
      </w:r>
      <w:r>
        <w:t xml:space="preserve">), Line Type (as </w:t>
      </w:r>
      <w:r>
        <w:rPr>
          <w:b/>
          <w:bCs/>
        </w:rPr>
        <w:t xml:space="preserve">Exposure Type</w:t>
      </w:r>
      <w:r>
        <w:t xml:space="preserve">), Line Currency. No metrics.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Visualization:</w:t>
      </w:r>
      <w:r>
        <w:t xml:space="preserve"> Grid.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Shelves:</w:t>
      </w:r>
      <w:r>
        <w:t xml:space="preserve"> Put the five attributes on the grid, then </w:t>
      </w:r>
      <w:r>
        <w:rPr>
          <w:b/>
          <w:bCs/>
        </w:rPr>
        <w:t xml:space="preserve">Swap Rows/Columns (Transpose)</w:t>
      </w:r>
      <w:r>
        <w:t xml:space="preserve"> to make it vertical.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Filter:</w:t>
      </w:r>
      <w:r>
        <w:t xml:space="preserve"> Driven by the Borrower→Line cascading selectors (Section 6).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Format:</w:t>
      </w:r>
      <w:r>
        <w:t xml:space="preserve"> Rename the card </w:t>
      </w:r>
      <w:r>
        <w:rPr>
          <w:b/>
          <w:bCs/>
        </w:rPr>
        <w:t xml:space="preserve">title</w:t>
      </w:r>
      <w:r>
        <w:t xml:space="preserve"> from the placeholder "stress PFE" to </w:t>
      </w:r>
      <w:r>
        <w:rPr>
          <w:b/>
          <w:bCs/>
        </w:rPr>
        <w:t xml:space="preserve">Counterparty Tearsheet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Gotcha:</w:t>
      </w:r>
      <w:r>
        <w:t xml:space="preserve"> The page is per-</w:t>
      </w:r>
      <w:r>
        <w:rPr>
          <w:b/>
          <w:bCs/>
        </w:rPr>
        <w:t xml:space="preserve">line</w:t>
      </w:r>
      <w:r>
        <w:t xml:space="preserve">, not per-borrower — a borrower can have several lines.</w:t>
      </w:r>
    </w:p>
    <w:p>
      <w:pPr>
        <w:pStyle w:val="Heading2"/>
      </w:pPr>
      <w:r>
        <w:t xml:space="preserve">5.2. KPI tiles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The headline numbers.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Max of All</w:t>
      </w:r>
      <w:r>
        <w:t xml:space="preserve">, </w:t>
      </w:r>
      <w:r>
        <w:rPr>
          <w:b/>
          <w:bCs/>
        </w:rPr>
        <w:t xml:space="preserve">Scenario of Max</w:t>
      </w:r>
      <w:r>
        <w:t xml:space="preserve">, </w:t>
      </w:r>
      <w:r>
        <w:rPr>
          <w:b/>
          <w:bCs/>
        </w:rPr>
        <w:t xml:space="preserve">Percentage of Impact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Visualization:</w:t>
      </w:r>
      <w:r>
        <w:t xml:space="preserve"> KPI widget for the metrics; a small </w:t>
      </w:r>
      <w:r>
        <w:rPr>
          <w:b/>
          <w:bCs/>
        </w:rPr>
        <w:t xml:space="preserve">Grid or text tile</w:t>
      </w:r>
      <w:r>
        <w:t xml:space="preserve"> for Scenario of Max.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Shelves:</w:t>
      </w:r>
      <w:r>
        <w:t xml:space="preserve"> Max of All and Percentage of Impact go on the KPI widget.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Format:</w:t>
      </w:r>
      <w:r>
        <w:t xml:space="preserve"> Format </w:t>
      </w:r>
      <w:r>
        <w:rPr>
          <w:b/>
          <w:bCs/>
        </w:rPr>
        <w:t xml:space="preserve">Percentage of Impact</w:t>
      </w:r>
      <w:r>
        <w:t xml:space="preserve"> as </w:t>
      </w:r>
      <w:r>
        <w:rPr>
          <w:b/>
          <w:bCs/>
        </w:rPr>
        <w:t xml:space="preserve">1,489%</w:t>
      </w:r>
      <w:r>
        <w:t xml:space="preserve"> (0 decimals + % sign) or </w:t>
      </w:r>
      <w:r>
        <w:rPr>
          <w:b/>
          <w:bCs/>
        </w:rPr>
        <w:t xml:space="preserve">14.9×</w:t>
      </w:r>
      <w:r>
        <w:t xml:space="preserve"> — not the raw 1489.469405.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Gotcha:</w:t>
      </w:r>
      <w:r>
        <w:t xml:space="preserve"> </w:t>
      </w:r>
      <w:r>
        <w:rPr>
          <w:b/>
          <w:bCs/>
        </w:rPr>
        <w:t xml:space="preserve">Max of All ≡ Max Scenario Exposure</w:t>
      </w:r>
      <w:r>
        <w:t xml:space="preserve"> (same number by definition) — don't show both; pair Max of All with </w:t>
      </w:r>
      <w:r>
        <w:rPr>
          <w:b/>
          <w:bCs/>
        </w:rPr>
        <w:t xml:space="preserve">Scenario of Max</w:t>
      </w:r>
      <w:r>
        <w:t xml:space="preserve"> instead so the tile tells a story. </w:t>
      </w:r>
      <w:r>
        <w:rPr>
          <w:b/>
          <w:bCs/>
        </w:rPr>
        <w:t xml:space="preserve">Scenario of Max is an attribute (text)</w:t>
      </w:r>
      <w:r>
        <w:t xml:space="preserve">, which the KPI widget won't take — use a small grid/text tile for it.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Alternative:</w:t>
      </w:r>
      <w:r>
        <w:t xml:space="preserve"> You can also show Max of All as a </w:t>
      </w:r>
      <w:r>
        <w:rPr>
          <w:b/>
          <w:bCs/>
        </w:rPr>
        <w:t xml:space="preserve">reference line</w:t>
      </w:r>
      <w:r>
        <w:t xml:space="preserve"> on the scenario-maxima bars instead of a tile.</w:t>
      </w:r>
    </w:p>
    <w:p>
      <w:pPr>
        <w:pStyle w:val="Heading2"/>
      </w:pPr>
      <w:r>
        <w:t xml:space="preserve">5.3. Scenario-maxima bars (companion panel)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Which stress scenario binds for this line?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Data:</w:t>
      </w:r>
      <w:r>
        <w:t xml:space="preserve"> The eight scenario-max metrics (Base, Zero-Corr, 0.25, 0.75, STR75, 1.0, Prod, STRMPR025).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Visualization:</w:t>
      </w:r>
      <w:r>
        <w:t xml:space="preserve"> </w:t>
      </w:r>
      <w:r>
        <w:rPr>
          <w:b/>
          <w:bCs/>
        </w:rPr>
        <w:t xml:space="preserve">Horizontal</w:t>
      </w:r>
      <w:r>
        <w:t xml:space="preserve"> bar chart (long scenario names read cleanly to the left of each bar).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Shelves:</w:t>
      </w:r>
      <w:r>
        <w:t xml:space="preserve"> Metric Names on the category axis; the eight metrics as the values.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Rename</w:t>
      </w:r>
      <w:r>
        <w:t xml:space="preserve"> each metric to its friendly name (right-click in the Vertical zone → Rename). Turn on </w:t>
      </w:r>
      <w:r>
        <w:rPr>
          <w:b/>
          <w:bCs/>
        </w:rPr>
        <w:t xml:space="preserve">data labels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Gotcha:</w:t>
      </w:r>
      <w:r>
        <w:t xml:space="preserve"> Because each bar is a </w:t>
      </w:r>
      <w:r>
        <w:rPr>
          <w:b/>
          <w:bCs/>
        </w:rPr>
        <w:t xml:space="preserve">separate metric</w:t>
      </w:r>
      <w:r>
        <w:t xml:space="preserve"> (not one metric split by a Scenario attribute), Strategy </w:t>
      </w:r>
      <w:r>
        <w:rPr>
          <w:b/>
          <w:bCs/>
        </w:rPr>
        <w:t xml:space="preserve">cannot auto-sort by value or auto-highlight the max</w:t>
      </w:r>
      <w:r>
        <w:t xml:space="preserve"> — bar order follows the drag order and colour is per-metric. Fine for a single-line tearsheet; manually drag into descending order and colour the base bar muted.</w:t>
      </w:r>
    </w:p>
    <w:p>
      <w:pPr>
        <w:pStyle w:val="Heading2"/>
      </w:pPr>
      <w:r>
        <w:t xml:space="preserve">5.4. Multi-Factor Stress Results (hero)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How does exposure behave across the maturity curve, per scenario, vs the limit?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Prerequisite:</w:t>
      </w:r>
      <w:r>
        <w:t xml:space="preserve">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vw_asts_bucket_pivot</w:t>
      </w:r>
      <w:r>
        <w:t xml:space="preserve">; Time Bucket (sorted by bucket_order), Series, Value (MAX).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Visualization:</w:t>
      </w:r>
      <w:r>
        <w:t xml:space="preserve"> Bar chart (clustered).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Shelves:</w:t>
      </w:r>
      <w:r>
        <w:t xml:space="preserve"> Horizontal (category) = </w:t>
      </w:r>
      <w:r>
        <w:rPr>
          <w:b/>
          <w:bCs/>
        </w:rPr>
        <w:t xml:space="preserve">Time Bucket</w:t>
      </w:r>
      <w:r>
        <w:t xml:space="preserve">; Vertical (value) = </w:t>
      </w:r>
      <w:r>
        <w:rPr>
          <w:b/>
          <w:bCs/>
        </w:rPr>
        <w:t xml:space="preserve">Value</w:t>
      </w:r>
      <w:r>
        <w:t xml:space="preserve">; </w:t>
      </w:r>
      <w:r>
        <w:rPr>
          <w:b/>
          <w:bCs/>
        </w:rPr>
        <w:t xml:space="preserve">Color By = Series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Filter:</w:t>
      </w:r>
      <w:r>
        <w:t xml:space="preserve"> Keep the page Line filter active (one counterparty).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Sort:</w:t>
      </w:r>
      <w:r>
        <w:t xml:space="preserve"> Time Bucket by </w:t>
      </w:r>
      <w:r>
        <w:rPr>
          <w:b/>
          <w:bCs/>
        </w:rPr>
        <w:t xml:space="preserve">Bucket Order</w:t>
      </w:r>
      <w:r>
        <w:t xml:space="preserve"> (see 2.2) so buckets run 0-3 → 10-50, not alphabetical.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Format:</w:t>
      </w:r>
      <w:r>
        <w:t xml:space="preserve"> Set </w:t>
      </w:r>
      <w:r>
        <w:rPr>
          <w:b/>
          <w:bCs/>
        </w:rPr>
        <w:t xml:space="preserve">categorical</w:t>
      </w:r>
      <w:r>
        <w:t xml:space="preserve"> Series colours (not the default sequential green ramp), matched to the other charts (Section 5.9). Remove </w:t>
      </w:r>
      <w:r>
        <w:rPr>
          <w:b/>
          <w:bCs/>
        </w:rPr>
        <w:t xml:space="preserve">Break By</w:t>
      </w:r>
      <w:r>
        <w:t xml:space="preserve"> if it duplicates Color By.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Gotcha:</w:t>
      </w:r>
      <w:r>
        <w:t xml:space="preserve"> If only ~4 series show, categorical colours reveal whether Limit/Current Exposure nulled out (a cast/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line_rep</w:t>
      </w:r>
      <w:r>
        <w:t xml:space="preserve"> issue). </w:t>
      </w:r>
      <w:r>
        <w:rPr>
          <w:b/>
          <w:bCs/>
        </w:rPr>
        <w:t xml:space="preserve">BASE</w:t>
      </w:r>
      <w:r>
        <w:t xml:space="preserve"> draws nothing (its exposure lives in Current Exposure) — you can hide it in the legend.</w:t>
      </w:r>
    </w:p>
    <w:p>
      <w:pPr>
        <w:pStyle w:val="Heading2"/>
      </w:pPr>
      <w:r>
        <w:t xml:space="preserve">5.5. Limit line (new)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Show the Limit as a ceiling line over the exposure bars.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Why it needs work:</w:t>
      </w:r>
      <w:r>
        <w:t xml:space="preserve"> Limit is currently a </w:t>
      </w:r>
      <w:r>
        <w:rPr>
          <w:b/>
          <w:bCs/>
        </w:rPr>
        <w:t xml:space="preserve">Series element</w:t>
      </w:r>
      <w:r>
        <w:t xml:space="preserve">, not a metric — and shape is set </w:t>
      </w:r>
      <w:r>
        <w:rPr>
          <w:b/>
          <w:bCs/>
        </w:rPr>
        <w:t xml:space="preserve">per metric</w:t>
      </w:r>
      <w:r>
        <w:t xml:space="preserve">, so toggling 'line' turns </w:t>
      </w:r>
      <w:r>
        <w:rPr>
          <w:b/>
          <w:bCs/>
        </w:rPr>
        <w:t xml:space="preserve">every</w:t>
      </w:r>
      <w:r>
        <w:t xml:space="preserve"> bar into a line. To make only Limit a line, Limit must be its </w:t>
      </w:r>
      <w:r>
        <w:rPr>
          <w:b/>
          <w:bCs/>
        </w:rPr>
        <w:t xml:space="preserve">own metric</w:t>
      </w:r>
      <w:r>
        <w:t xml:space="preserve">.</w:t>
      </w:r>
    </w:p>
    <w:p>
      <w:pPr>
        <w:spacing w:after="120" w:line="264"/>
      </w:pPr>
      <w:r>
        <w:rPr>
          <w:b/>
          <w:bCs/>
        </w:rPr>
        <w:t xml:space="preserve">Recommended — give Limit its own metric via a small view tweak.</w:t>
      </w:r>
      <w:r>
        <w:t xml:space="preserve"> Add a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limit_value</w:t>
      </w:r>
      <w:r>
        <w:t xml:space="preserve"> column to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vw_asts_bucket_pivot</w:t>
      </w:r>
      <w:r>
        <w:t xml:space="preserve"> (per-bucket limit on every row), then render it as a separate line: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DA" w:sz="2"/>
              <w:left w:val="single" w:color="0B7A4B" w:sz="8"/>
              <w:bottom w:val="single" w:color="CBD5DA" w:sz="2"/>
              <w:right w:val="single" w:color="CBD5DA" w:sz="2"/>
            </w:tcBorders>
            <w:shd w:fill="F4F6F7" w:val="clear"/>
            <w:tcMar>
              <w:top w:type="dxa" w:w="80"/>
              <w:left w:type="dxa" w:w="150"/>
              <w:bottom w:type="dxa" w:w="80"/>
              <w:right w:type="dxa" w:w="120"/>
            </w:tcMar>
          </w:tcPr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-- Add to vw_asts_bucket_pivot so the Limit line is its own metric.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-- New CTE: per-bucket limit on every row.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limit_long AS (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SELECT line, business_date, bucket_order,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       TRY_CAST(REPLACE(value_str, ',', '') AS DOUBLE) AS limit_value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FROM (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  SELECT Line AS line, business_date,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    stack(6, 1,Limit_3_mo, 2,Limit_1_Yr, 3,Limit_2_Yr,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             4,Limit_5_Yr, 5,Limit_10_Yr, 6,Limit_50_Yr   -- positional bucket map!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    ) AS (bucket_order, value_str)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  FROM line_rep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)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)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-- In the final SELECT: LEFT JOIN limit_long l ON (line, business_date, bucket_order)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-- and add  l.limit_value  as a new column.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Model:</w:t>
      </w:r>
      <w:r>
        <w:t xml:space="preserve"> Add </w:t>
      </w:r>
      <w:r>
        <w:rPr>
          <w:b/>
          <w:bCs/>
        </w:rPr>
        <w:t xml:space="preserve">Limit Value</w:t>
      </w:r>
      <w:r>
        <w:t xml:space="preserve"> as a metric (aggregation </w:t>
      </w:r>
      <w:r>
        <w:rPr>
          <w:b/>
          <w:bCs/>
        </w:rPr>
        <w:t xml:space="preserve">MAX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Build:</w:t>
      </w:r>
      <w:r>
        <w:t xml:space="preserve"> On the hero chart, add </w:t>
      </w:r>
      <w:r>
        <w:rPr>
          <w:b/>
          <w:bCs/>
        </w:rPr>
        <w:t xml:space="preserve">Limit Value</w:t>
      </w:r>
      <w:r>
        <w:t xml:space="preserve"> to the Vertical axis; switch the visualization to </w:t>
      </w:r>
      <w:r>
        <w:rPr>
          <w:b/>
          <w:bCs/>
        </w:rPr>
        <w:t xml:space="preserve">Combo</w:t>
      </w:r>
      <w:r>
        <w:t xml:space="preserve">; set </w:t>
      </w:r>
      <w:r>
        <w:rPr>
          <w:b/>
          <w:bCs/>
        </w:rPr>
        <w:t xml:space="preserve">Value = bars</w:t>
      </w:r>
      <w:r>
        <w:t xml:space="preserve">, </w:t>
      </w:r>
      <w:r>
        <w:rPr>
          <w:b/>
          <w:bCs/>
        </w:rPr>
        <w:t xml:space="preserve">Limit Value = line</w:t>
      </w:r>
      <w:r>
        <w:t xml:space="preserve">; keep </w:t>
      </w:r>
      <w:r>
        <w:rPr>
          <w:b/>
          <w:bCs/>
        </w:rPr>
        <w:t xml:space="preserve">Color By = Series</w:t>
      </w:r>
      <w:r>
        <w:t xml:space="preserve">. (Or build it as a separate overlay visual sharing the Time Bucket axis.)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Alternative:</w:t>
      </w:r>
      <w:r>
        <w:t xml:space="preserve"> No view change: create two conditional derived metrics —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Limit Value = value where series='Limit'</w:t>
      </w:r>
      <w:r>
        <w:t xml:space="preserve"> and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Exposure Value = value where series&lt;&gt;'Limit'</w:t>
      </w:r>
      <w:r>
        <w:t xml:space="preserve"> — and combo them. Works, but the metric-filter UI is fiddlier than the view edit.</w:t>
      </w:r>
    </w:p>
    <w:p>
      <w:pPr>
        <w:pStyle w:val="Heading2"/>
      </w:pPr>
      <w:r>
        <w:t xml:space="preserve">5.6. Exposure Change — Stressed vs Current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Where along the maturity curve does stress add the most exposure?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Prerequisite:</w:t>
      </w:r>
      <w:r>
        <w:t xml:space="preserve">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current_value</w:t>
      </w:r>
      <w:r>
        <w:t xml:space="preserve"> and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change_vs_current</w:t>
      </w:r>
      <w:r>
        <w:t xml:space="preserve"> columns in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vw_asts_bucket_pivot</w:t>
      </w:r>
      <w:r>
        <w:t xml:space="preserve">; add both as metrics (MAX).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Visualization:</w:t>
      </w:r>
      <w:r>
        <w:t xml:space="preserve"> Line chart.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Shelves:</w:t>
      </w:r>
      <w:r>
        <w:t xml:space="preserve"> Horizontal = </w:t>
      </w:r>
      <w:r>
        <w:rPr>
          <w:b/>
          <w:bCs/>
        </w:rPr>
        <w:t xml:space="preserve">Time Bucket</w:t>
      </w:r>
      <w:r>
        <w:t xml:space="preserve">; Vertical = </w:t>
      </w:r>
      <w:r>
        <w:rPr>
          <w:b/>
          <w:bCs/>
        </w:rPr>
        <w:t xml:space="preserve">Change vs Current</w:t>
      </w:r>
      <w:r>
        <w:t xml:space="preserve">; </w:t>
      </w:r>
      <w:r>
        <w:rPr>
          <w:b/>
          <w:bCs/>
        </w:rPr>
        <w:t xml:space="preserve">Color By = Series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Filter:</w:t>
      </w:r>
      <w:r>
        <w:t xml:space="preserve"> Filter Series to </w:t>
      </w:r>
      <w:r>
        <w:rPr>
          <w:b/>
          <w:bCs/>
        </w:rPr>
        <w:t xml:space="preserve">scenarios only</w:t>
      </w:r>
      <w:r>
        <w:t xml:space="preserve"> — exclude </w:t>
      </w:r>
      <w:r>
        <w:rPr>
          <w:b/>
          <w:bCs/>
        </w:rPr>
        <w:t xml:space="preserve">Current Exposure</w:t>
      </w:r>
      <w:r>
        <w:t xml:space="preserve"> (its delta is 0 by definition) and </w:t>
      </w:r>
      <w:r>
        <w:rPr>
          <w:b/>
          <w:bCs/>
        </w:rPr>
        <w:t xml:space="preserve">Limit</w:t>
      </w:r>
      <w:r>
        <w:t xml:space="preserve"> (delta isn't meaningful). One clean line per scenario remains.</w:t>
      </w:r>
    </w:p>
    <w:p>
      <w:pPr>
        <w:pStyle w:val="Heading2"/>
      </w:pPr>
      <w:r>
        <w:t xml:space="preserve">5.7. Breach summary grid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What is the single worst breach for this line, and what drives it?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Prerequisite:</w:t>
      </w:r>
      <w:r>
        <w:t xml:space="preserve">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vw_asts_largest_breach</w:t>
      </w:r>
      <w:r>
        <w:t xml:space="preserve"> added to the model, joined on </w:t>
      </w:r>
      <w:r>
        <w:rPr>
          <w:b/>
          <w:bCs/>
        </w:rPr>
        <w:t xml:space="preserve">Line (+ Business Date)</w:t>
      </w:r>
      <w:r>
        <w:t xml:space="preserve"> — one row per line, so it joins cleanly. </w:t>
      </w:r>
      <w:r>
        <w:rPr>
          <w:b/>
          <w:bCs/>
        </w:rPr>
        <w:t xml:space="preserve">Line Expiry Date is brought in separately</w:t>
      </w:r>
      <w:r>
        <w:t xml:space="preserve"> as Line's attribute (sourced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, §2.3) — not from this view.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Data:</w:t>
      </w:r>
      <w:r>
        <w:t xml:space="preserve"> Bucket of Largest Breach, Limit, Current Exposure, Stressed Exposure, Scenario of Largest Breach — plus </w:t>
      </w:r>
      <w:r>
        <w:rPr>
          <w:b/>
          <w:bCs/>
        </w:rPr>
        <w:t xml:space="preserve">Line Expiry Date</w:t>
      </w:r>
      <w:r>
        <w:t xml:space="preserve"> (Line's attribute,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asts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Visualization:</w:t>
      </w:r>
      <w:r>
        <w:t xml:space="preserve"> Grid (or a transposed card like the header).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Filter:</w:t>
      </w:r>
      <w:r>
        <w:t xml:space="preserve"> Scoped to the current line by the page filter.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Gotcha:</w:t>
      </w:r>
      <w:r>
        <w:t xml:space="preserve"> Source the breach </w:t>
      </w:r>
      <w:r>
        <w:rPr>
          <w:b/>
          <w:bCs/>
        </w:rPr>
        <w:t xml:space="preserve">metrics</w:t>
      </w:r>
      <w:r>
        <w:t xml:space="preserve">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vw_asts_largest_breach</w:t>
      </w:r>
      <w:r>
        <w:t xml:space="preserve">, and bring </w:t>
      </w:r>
      <w:r>
        <w:rPr>
          <w:b/>
          <w:bCs/>
        </w:rPr>
        <w:t xml:space="preserve">Line Expiry Date</w:t>
      </w:r>
      <w:r>
        <w:t xml:space="preserve"> as </w:t>
      </w:r>
      <w:r>
        <w:rPr>
          <w:b/>
          <w:bCs/>
        </w:rPr>
        <w:t xml:space="preserve">Line's attribute (from `asts`, §2.3)</w:t>
      </w:r>
      <w:r>
        <w:t xml:space="preserve"> so the model relationship joins it on Line — that is what prevents the Cartesian, </w:t>
      </w:r>
      <w:r>
        <w:rPr>
          <w:i/>
          <w:iCs/>
        </w:rPr>
        <w:t xml:space="preserve">without</w:t>
      </w:r>
      <w:r>
        <w:t xml:space="preserve"> touching the view. Lines with no breach return no row (correct).</w:t>
      </w:r>
    </w:p>
    <w:p>
      <w:pPr>
        <w:pStyle w:val="Heading2"/>
      </w:pPr>
      <w:r>
        <w:t xml:space="preserve">5.8. Commentary (write-back — new)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The analyst's narrative under the breach grid: Primary/Secondary Risk Drivers, Products Driving Exposure, Notes — there is no source feed, a human types it.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Prerequisite:</w:t>
      </w:r>
      <w:r>
        <w:t xml:space="preserve"> Create the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breach_commentary</w:t>
      </w:r>
      <w:r>
        <w:t xml:space="preserve"> Delta table (below).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DA" w:sz="2"/>
              <w:left w:val="single" w:color="0B7A4B" w:sz="8"/>
              <w:bottom w:val="single" w:color="CBD5DA" w:sz="2"/>
              <w:right w:val="single" w:color="CBD5DA" w:sz="2"/>
            </w:tcBorders>
            <w:shd w:fill="F4F6F7" w:val="clear"/>
            <w:tcMar>
              <w:top w:type="dxa" w:w="80"/>
              <w:left w:type="dxa" w:w="150"/>
              <w:bottom w:type="dxa" w:w="80"/>
              <w:right w:type="dxa" w:w="120"/>
            </w:tcMar>
          </w:tcPr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CREATE TABLE IF NOT EXISTS `d4001-centralus-tdvip-creditrisk`.`xvala_xva`.`breach_commentary` (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line STRING, business_date STRING,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primary_risk_driver STRING, secondary_risk_driver STRING,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products_driving_exposure STRING, notes STRING,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  updated_by STRING, updated_at TIMESTAMP</w:t>
            </w:r>
          </w:p>
          <w:p>
            <w:pPr>
              <w:spacing w:after="0" w:line="198"/>
            </w:pPr>
            <w:r>
              <w:rPr>
                <w:rFonts w:ascii="Consolas" w:cs="Consolas" w:eastAsia="Consolas" w:hAnsi="Consolas"/>
                <w:color w:val="24333B"/>
                <w:sz w:val="15"/>
                <w:szCs w:val="15"/>
              </w:rPr>
              <w:t xml:space="preserve">) USING DELTA;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Build:</w:t>
      </w:r>
      <w:r>
        <w:t xml:space="preserve"> Add a </w:t>
      </w:r>
      <w:r>
        <w:rPr>
          <w:b/>
          <w:bCs/>
        </w:rPr>
        <w:t xml:space="preserve">Grid</w:t>
      </w:r>
      <w:r>
        <w:t xml:space="preserve"> bound to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breach_commentary</w:t>
      </w:r>
      <w:r>
        <w:t xml:space="preserve">. Enable </w:t>
      </w:r>
      <w:r>
        <w:rPr>
          <w:b/>
          <w:bCs/>
        </w:rPr>
        <w:t xml:space="preserve">Transaction</w:t>
      </w:r>
      <w:r>
        <w:t xml:space="preserve"> on it (Strategy </w:t>
      </w:r>
      <w:r>
        <w:rPr>
          <w:b/>
          <w:bCs/>
        </w:rPr>
        <w:t xml:space="preserve">SQL Transaction Forms</w:t>
      </w:r>
      <w:r>
        <w:t xml:space="preserve"> — set the editable cells and the insert/update binding).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Join:</w:t>
      </w:r>
      <w:r>
        <w:t xml:space="preserve"> </w:t>
      </w:r>
      <w:r>
        <w:rPr>
          <w:b/>
          <w:bCs/>
        </w:rPr>
        <w:t xml:space="preserve">LEFT JOIN</w:t>
      </w:r>
      <w:r>
        <w:t xml:space="preserve"> it 1:1 to the breach grid on </w:t>
      </w:r>
      <w:r>
        <w:rPr>
          <w:b/>
          <w:bCs/>
        </w:rPr>
        <w:t xml:space="preserve">line + business_date</w:t>
      </w:r>
      <w:r>
        <w:t xml:space="preserve">, and place it beneath the breach grid so the commentary shows for the current line.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Governance:</w:t>
      </w:r>
      <w:r>
        <w:t xml:space="preserve"> Make the fields permission-scoped and audited — populate </w:t>
      </w:r>
      <w:r>
        <w:rPr>
          <w:b/>
          <w:bCs/>
        </w:rPr>
        <w:t xml:space="preserve">updated_by</w:t>
      </w:r>
      <w:r>
        <w:t xml:space="preserve"> / </w:t>
      </w:r>
      <w:r>
        <w:rPr>
          <w:b/>
          <w:bCs/>
        </w:rPr>
        <w:t xml:space="preserve">updated_at</w:t>
      </w:r>
      <w:r>
        <w:t xml:space="preserve"> on write.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Gotcha:</w:t>
      </w:r>
      <w:r>
        <w:t xml:space="preserve"> Confirm Transaction-Forms write-back is enabled for the </w:t>
      </w:r>
      <w:r>
        <w:rPr>
          <w:b/>
          <w:bCs/>
        </w:rPr>
        <w:t xml:space="preserve">Databricks SQL warehouse</w:t>
      </w:r>
      <w:r>
        <w:t xml:space="preserve"> connection (a newer capability).</w:t>
      </w:r>
    </w:p>
    <w:p>
      <w:pPr>
        <w:pStyle w:val="Heading2"/>
      </w:pPr>
      <w:r>
        <w:t xml:space="preserve">5.9. Shared legend + colour-lock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Purpose:</w:t>
      </w:r>
      <w:r>
        <w:t xml:space="preserve"> One colour key that describes every chart, like the sample's separate legend box (annotation #3).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Colour-lock first:</w:t>
      </w:r>
      <w:r>
        <w:t xml:space="preserve"> Set </w:t>
      </w:r>
      <w:r>
        <w:rPr>
          <w:b/>
          <w:bCs/>
        </w:rPr>
        <w:t xml:space="preserve">categorical Series colours</w:t>
      </w:r>
      <w:r>
        <w:t xml:space="preserve"> so each scenario/Limit/Current Exposure is the </w:t>
      </w:r>
      <w:r>
        <w:rPr>
          <w:b/>
          <w:bCs/>
        </w:rPr>
        <w:t xml:space="preserve">same colour across all charts</w:t>
      </w:r>
      <w:r>
        <w:t xml:space="preserve"> on the page. Lock them on the Series attribute (or match them per-viz). This is the prerequisite for a single valid shared legend.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Shared box:</w:t>
      </w:r>
      <w:r>
        <w:t xml:space="preserve"> Strategy has no floating shared-legend object, so emulate it: keep </w:t>
      </w:r>
      <w:r>
        <w:rPr>
          <w:b/>
          <w:bCs/>
        </w:rPr>
        <w:t xml:space="preserve">one</w:t>
      </w:r>
      <w:r>
        <w:t xml:space="preserve"> chart's legend positioned to the side and </w:t>
      </w:r>
      <w:r>
        <w:rPr>
          <w:b/>
          <w:bCs/>
        </w:rPr>
        <w:t xml:space="preserve">hide</w:t>
      </w:r>
      <w:r>
        <w:t xml:space="preserve"> the others; or build a tiny </w:t>
      </w:r>
      <w:r>
        <w:rPr>
          <w:b/>
          <w:bCs/>
        </w:rPr>
        <w:t xml:space="preserve">dummy bar-chart 'legend' viz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Labels:</w:t>
      </w:r>
      <w:r>
        <w:t xml:space="preserve"> The legend reads the </w:t>
      </w:r>
      <w:r>
        <w:rPr>
          <w:b/>
          <w:bCs/>
        </w:rPr>
        <w:t xml:space="preserve">Series</w:t>
      </w:r>
      <w:r>
        <w:t xml:space="preserve"> values — apply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scenario_display_xref</w:t>
      </w:r>
      <w:r>
        <w:t xml:space="preserve"> so it shows the descriptive names (blueprint until the dictionary is confirmed).</w:t>
      </w:r>
    </w:p>
    <w:p>
      <w:pPr>
        <w:pStyle w:val="Heading1"/>
      </w:pPr>
      <w:r>
        <w:t xml:space="preserve">6. Cascading Borrower ↔ Line filters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t xml:space="preserve">Add a </w:t>
      </w:r>
      <w:r>
        <w:rPr>
          <w:b/>
          <w:bCs/>
        </w:rPr>
        <w:t xml:space="preserve">Borrower</w:t>
      </w:r>
      <w:r>
        <w:t xml:space="preserve"> selector (on Long Name) and a </w:t>
      </w:r>
      <w:r>
        <w:rPr>
          <w:b/>
          <w:bCs/>
        </w:rPr>
        <w:t xml:space="preserve">Line</w:t>
      </w:r>
      <w:r>
        <w:t xml:space="preserve"> selector (on Line).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t xml:space="preserve">Make them </w:t>
      </w:r>
      <w:r>
        <w:rPr>
          <w:b/>
          <w:bCs/>
        </w:rPr>
        <w:t xml:space="preserve">cascade</w:t>
      </w:r>
      <w:r>
        <w:t xml:space="preserve">: selecting a Borrower filters the Line list to that borrower's lines; selecting a Line drives every visualization on the page.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t xml:space="preserve">Target all cards (header, KPI, hero, exposure change, breach grid, commentary) so the whole tearsheet scopes to one line at once.</w:t>
      </w:r>
    </w:p>
    <w:p>
      <w:pPr>
        <w:pStyle w:val="Heading1"/>
      </w:pPr>
      <w:r>
        <w:t xml:space="preserve">7. Outstanding / parked enhancements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Descriptive scenario names</w:t>
      </w:r>
      <w:r>
        <w:t xml:space="preserve"> — validate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scenario_display_xref</w:t>
      </w:r>
      <w:r>
        <w:t xml:space="preserve"> against the authoritative scenario dictionary (placeholder in place).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Rank "Number" (#7)</w:t>
      </w:r>
      <w:r>
        <w:t xml:space="preserve"> — a derived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Rank([Max of All])</w:t>
      </w:r>
      <w:r>
        <w:t xml:space="preserve"> descending; mostly meaningful on a portfolio/ranked-breach page rather than this single-line page.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CSA strip (#2)</w:t>
      </w:r>
      <w:r>
        <w:t xml:space="preserve"> — CSA Direction + CP/TD Thresholds, sourced from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clients_report</w:t>
      </w:r>
      <w:r>
        <w:t xml:space="preserve"> (agreement block) / SCREAM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netting_xref.csv</w:t>
      </w:r>
      <w:r>
        <w:t xml:space="preserve"> (per counterparty; join Line→Counterparty via the embedded CP code).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Lending Manager → IHMS (#1)</w:t>
      </w:r>
      <w:r>
        <w:t xml:space="preserve"> — external feed.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b/>
          <w:bCs/>
        </w:rPr>
        <w:t xml:space="preserve">Data-quality (fix at source in `asts`):</w:t>
      </w:r>
      <w:r>
        <w:t xml:space="preserve"> 35 duplicate rows, </w:t>
      </w:r>
      <w:r>
        <w:rPr>
          <w:rFonts w:ascii="Consolas" w:cs="Consolas" w:eastAsia="Consolas" w:hAnsi="Consolas"/>
          <w:color w:val="205072"/>
          <w:sz w:val="18"/>
          <w:szCs w:val="18"/>
        </w:rPr>
        <w:t xml:space="preserve">Long_Name</w:t>
      </w:r>
      <w:r>
        <w:t xml:space="preserve"> variants, null Limit on the BASE row.</w:t>
      </w:r>
    </w:p>
    <w:p>
      <w:pPr>
        <w:spacing w:after="80"/>
      </w:pPr>
      <w:r>
        <w:t xml:space="preserve"/>
      </w:r>
    </w:p>
    <w:p>
      <w:pPr>
        <w:spacing w:before="120"/>
      </w:pPr>
      <w:r>
        <w:rPr>
          <w:i/>
          <w:iCs/>
          <w:color w:val="6B7A82"/>
          <w:sz w:val="18"/>
          <w:szCs w:val="18"/>
        </w:rPr>
        <w:t xml:space="preserve">End of build instructions — a living document; extend it as the parked items are completed and as the scenario dictionary and CSA feeds are confirmed.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A82"/>
        <w:sz w:val="16"/>
        <w:szCs w:val="16"/>
      </w:rPr>
      <w:t xml:space="preserve">Stress PFE Tearsheet — Strategy Build README    ·    </w:t>
    </w:r>
    <w:r>
      <w:rPr>
        <w:color w:val="6B7A8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433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FD8CB" w:sz="6" w:space="4"/>
      </w:pBdr>
      <w:spacing w:after="140" w:before="300"/>
      <w:outlineLvl w:val="0"/>
    </w:pPr>
    <w:rPr>
      <w:rFonts w:ascii="Arial" w:cs="Arial" w:eastAsia="Arial" w:hAnsi="Arial"/>
      <w:b/>
      <w:bCs/>
      <w:color w:val="0B7A4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1F2D3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2E6E8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a4770730c2f049c95984d846883d063bcb76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Stress PFE Tearsheet — Strategy Build README</dc:title>
  <dc:creator>Stress PFE build</dc:creator>
  <cp:lastModifiedBy>Un-named</cp:lastModifiedBy>
  <cp:revision>1</cp:revision>
  <dcterms:created xsi:type="dcterms:W3CDTF">2026-06-22T20:11:41.432Z</dcterms:created>
  <dcterms:modified xsi:type="dcterms:W3CDTF">2026-06-22T20:11:41.444Z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