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Strategy / Mosaic — Vendor Deep-Dive Questions</w:t>
      </w:r>
    </w:p>
    <w:p>
      <w:pPr>
        <w:spacing w:after="400"/>
        <w:jc w:val="center"/>
      </w:pPr>
      <w:r>
        <w:rPr>
          <w:i/>
          <w:iCs/>
          <w:color w:val="555555"/>
          <w:sz w:val="24"/>
          <w:szCs w:val="24"/>
        </w:rPr>
        <w:t xml:space="preserve">Concerns and Open Questions from the POC</w:t>
      </w:r>
    </w:p>
    <w:p>
      <w:pPr>
        <w:spacing w:after="240"/>
      </w:pPr>
      <w:r>
        <w:t xml:space="preserve">This document captures the open questions and concerns from the CCR Counterparty Credit Risk POC work in MicroStrategy / Mosaic. Questions are grouped into two areas: the Semantic Model and the Dashboard. Each section calls out where our current understanding is solid, where it is unclear, and what we need the vendor to demonstrate concretely rather than describe in marketing terms.</w:t>
      </w:r>
    </w:p>
    <w:p>
      <w:pPr>
        <w:pStyle w:val="Heading1"/>
      </w:pPr>
      <w:r>
        <w:rPr>
          <w:b/>
          <w:bCs/>
        </w:rPr>
        <w:t xml:space="preserve">1. Semantic Model</w:t>
      </w:r>
    </w:p>
    <w:p>
      <w:pPr>
        <w:spacing w:after="120"/>
      </w:pPr>
      <w:r>
        <w:rPr>
          <w:b/>
          <w:bCs/>
        </w:rPr>
        <w:t xml:space="preserve">Context: </w:t>
      </w:r>
      <w:r>
        <w:t xml:space="preserve">We have built a star schema in Databricks (CCR Collateral Exposure and Margin Agreements) and connected it to Mosaic in Live mode. The model contains 10 counterparties, 12 agreements, 132 trades, and exposure data at a fortnightly grain. The questions below relate to what Mosaic does at the modelling layer, where the behaviour is unclear, and where the AI-assisted suggestions are creating noise rather than value.</w:t>
      </w:r>
    </w:p>
    <w:p>
      <w:pPr>
        <w:pStyle w:val="Heading2"/>
      </w:pPr>
      <w:r>
        <w:rPr>
          <w:b/>
          <w:bCs/>
        </w:rPr>
        <w:t xml:space="preserve">1.1 Parent-child relationships and join paths</w:t>
      </w:r>
    </w:p>
    <w:p>
      <w:pPr>
        <w:spacing w:after="120"/>
      </w:pPr>
      <w:r>
        <w:t xml:space="preserve">Mosaic appears to define parent-child cardinality (1-to-many, many-to-many) between attributes. This drives two things: roll-up behaviour, and which join path the SQL optimizer chooses when answering a query. We have already seen this bite us — an unintended relationship between a fact table and a dimension caused the optimizer to pick the wrong join path.</w:t>
      </w:r>
    </w:p>
    <w:p>
      <w:pPr>
        <w:spacing w:after="120"/>
      </w:pPr>
      <w:r>
        <w:rPr>
          <w:b/>
          <w:bCs/>
        </w:rPr>
        <w:t xml:space="preserve">Questions for the vendor:</w:t>
      </w:r>
    </w:p>
    <w:p>
      <w:pPr>
        <w:pStyle w:val="ListParagraph"/>
        <w:numPr>
          <w:ilvl w:val="0"/>
          <w:numId w:val="2"/>
        </w:numPr>
        <w:spacing w:after="80"/>
      </w:pPr>
      <w:r>
        <w:t xml:space="preserve">How does Mosaic handle conformed dimensions — the same business entity (e.g. Counterparty) appearing across multiple fact tables?</w:t>
      </w:r>
    </w:p>
    <w:p>
      <w:pPr>
        <w:pStyle w:val="ListParagraph"/>
        <w:numPr>
          <w:ilvl w:val="0"/>
          <w:numId w:val="2"/>
        </w:numPr>
        <w:spacing w:after="80"/>
      </w:pPr>
      <w:r>
        <w:t xml:space="preserve">When a relationship is declared, how does Mosaic decide which join path to use if multiple paths exist? Is there a way to inspect the chosen path?</w:t>
      </w:r>
    </w:p>
    <w:p>
      <w:pPr>
        <w:pStyle w:val="ListParagraph"/>
        <w:numPr>
          <w:ilvl w:val="0"/>
          <w:numId w:val="2"/>
        </w:numPr>
        <w:spacing w:after="80"/>
      </w:pPr>
      <w:r>
        <w:t xml:space="preserve">What is the diagnostic workflow when the wrong join path is picked — how do we trace why Mosaic chose path A over path B?</w:t>
      </w:r>
    </w:p>
    <w:p>
      <w:pPr>
        <w:pStyle w:val="Heading2"/>
      </w:pPr>
      <w:r>
        <w:rPr>
          <w:b/>
          <w:bCs/>
        </w:rPr>
        <w:t xml:space="preserve">1.2 Attribute forms</w:t>
      </w:r>
    </w:p>
    <w:p>
      <w:pPr>
        <w:spacing w:after="120"/>
      </w:pPr>
      <w:r>
        <w:t xml:space="preserve">An attribute in Mosaic has multiple forms — ID (used for joins and filtering), DESC (the human-readable label), and additional forms (LEI, ticker, etc). All forms live on the same row in different columns. They are parallel representations of the same entity, not concatenated values.</w:t>
      </w:r>
    </w:p>
    <w:p>
      <w:pPr>
        <w:spacing w:after="120"/>
      </w:pPr>
      <w:r>
        <w:rPr>
          <w:b/>
          <w:bCs/>
        </w:rPr>
        <w:t xml:space="preserve">Questions for the vendor:</w:t>
      </w:r>
    </w:p>
    <w:p>
      <w:pPr>
        <w:pStyle w:val="ListParagraph"/>
        <w:numPr>
          <w:ilvl w:val="0"/>
          <w:numId w:val="2"/>
        </w:numPr>
        <w:spacing w:after="80"/>
      </w:pPr>
      <w:r>
        <w:t xml:space="preserve">How do we control which form is used for display, which for filtering, and which for joining?</w:t>
      </w:r>
    </w:p>
    <w:p>
      <w:pPr>
        <w:pStyle w:val="ListParagraph"/>
        <w:numPr>
          <w:ilvl w:val="0"/>
          <w:numId w:val="2"/>
        </w:numPr>
        <w:spacing w:after="80"/>
      </w:pPr>
      <w:r>
        <w:t xml:space="preserve">When a multi-form attribute is placed on a grid, all forms render as sub-columns by default. How do we hide individual forms at the grid level while keeping them available for filtering and joins?</w:t>
      </w:r>
    </w:p>
    <w:p>
      <w:pPr>
        <w:pStyle w:val="ListParagraph"/>
        <w:numPr>
          <w:ilvl w:val="0"/>
          <w:numId w:val="2"/>
        </w:numPr>
        <w:spacing w:after="80"/>
      </w:pPr>
      <w:r>
        <w:t xml:space="preserve">Is the default display form a per-attribute setting, a per-grid setting, or both?</w:t>
      </w:r>
    </w:p>
    <w:p>
      <w:pPr>
        <w:pStyle w:val="Heading2"/>
      </w:pPr>
      <w:r>
        <w:rPr>
          <w:b/>
          <w:bCs/>
        </w:rPr>
        <w:t xml:space="preserve">1.3 Aggregation type for measures</w:t>
      </w:r>
    </w:p>
    <w:p>
      <w:pPr>
        <w:spacing w:after="120"/>
      </w:pPr>
      <w:r>
        <w:t xml:space="preserve">Standard aggregation functions — Sum, Average, Count, Min, Max — are declared per measure. This part is clear. The question is what happens when the aggregation is not safe across all dimensions.</w:t>
      </w:r>
    </w:p>
    <w:p>
      <w:pPr>
        <w:pStyle w:val="Heading2"/>
      </w:pPr>
      <w:r>
        <w:rPr>
          <w:b/>
          <w:bCs/>
        </w:rPr>
        <w:t xml:space="preserve">1.4 Grain awareness and semi-additive measures</w:t>
      </w:r>
    </w:p>
    <w:p>
      <w:pPr>
        <w:spacing w:after="120"/>
      </w:pPr>
      <w:r>
        <w:rPr>
          <w:b/>
          <w:bCs/>
        </w:rPr>
        <w:t xml:space="preserve">This is the single most important question. </w:t>
      </w:r>
      <w:r>
        <w:t xml:space="preserve">Our exposure measures live at a specific grain — for example exposure at counterparty + netting set + trade, as of a specific date. Summing across counterparties is valid. Summing the same exposure across dates is not — it is a stock measure, not a flow measure. The same applies to collateral balance, position size, account balance.</w:t>
      </w:r>
    </w:p>
    <w:p>
      <w:pPr>
        <w:spacing w:after="120"/>
      </w:pPr>
      <w:r>
        <w:rPr>
          <w:b/>
          <w:bCs/>
        </w:rPr>
        <w:t xml:space="preserve">Questions for the vendor:</w:t>
      </w:r>
    </w:p>
    <w:p>
      <w:pPr>
        <w:pStyle w:val="ListParagraph"/>
        <w:numPr>
          <w:ilvl w:val="0"/>
          <w:numId w:val="2"/>
        </w:numPr>
        <w:spacing w:after="80"/>
      </w:pPr>
      <w:r>
        <w:t xml:space="preserve">How do we declare a measure as semi-additive — additive across some dimensions but not others (typically not summable across time)?</w:t>
      </w:r>
    </w:p>
    <w:p>
      <w:pPr>
        <w:pStyle w:val="ListParagraph"/>
        <w:numPr>
          <w:ilvl w:val="0"/>
          <w:numId w:val="2"/>
        </w:numPr>
        <w:spacing w:after="80"/>
      </w:pPr>
      <w:r>
        <w:t xml:space="preserve">Can the model prevent a user from rolling up incorrectly, or do we rely entirely on dashboard discipline and training?</w:t>
      </w:r>
    </w:p>
    <w:p>
      <w:pPr>
        <w:pStyle w:val="ListParagraph"/>
        <w:numPr>
          <w:ilvl w:val="0"/>
          <w:numId w:val="2"/>
        </w:numPr>
        <w:spacing w:after="80"/>
      </w:pPr>
      <w:r>
        <w:t xml:space="preserve">Walk us through both level metrics and compound metrics with a worked example using a semi-additive measure like daily exposure.</w:t>
      </w:r>
    </w:p>
    <w:p>
      <w:pPr>
        <w:pStyle w:val="ListParagraph"/>
        <w:numPr>
          <w:ilvl w:val="0"/>
          <w:numId w:val="2"/>
        </w:numPr>
        <w:spacing w:after="80"/>
      </w:pPr>
      <w:r>
        <w:t xml:space="preserve">What happens at query time if a user drops a semi-additive measure onto a grid without filtering to a single as-of-date — is there any warning, or does it silently return a wrong number?</w:t>
      </w:r>
    </w:p>
    <w:p>
      <w:pPr>
        <w:pStyle w:val="Heading2"/>
      </w:pPr>
      <w:r>
        <w:rPr>
          <w:b/>
          <w:bCs/>
        </w:rPr>
        <w:t xml:space="preserve">1.5 AI-suggested relationships — noise problem</w:t>
      </w:r>
    </w:p>
    <w:p>
      <w:pPr>
        <w:spacing w:after="120"/>
      </w:pPr>
      <w:r>
        <w:t xml:space="preserve">The Mosaic AI suggestion engine proposes parent-child relationships between almost every attribute pairing it sees. The output is very noisy and the curation burden is high. This is not a defect — the AI is a suggestion engine, not an authority — but the workflow to curate efficiently is unclear.</w:t>
      </w:r>
    </w:p>
    <w:p>
      <w:pPr>
        <w:spacing w:after="120"/>
      </w:pPr>
      <w:r>
        <w:rPr>
          <w:b/>
          <w:bCs/>
        </w:rPr>
        <w:t xml:space="preserve">Questions for the vendor:</w:t>
      </w:r>
    </w:p>
    <w:p>
      <w:pPr>
        <w:pStyle w:val="ListParagraph"/>
        <w:numPr>
          <w:ilvl w:val="0"/>
          <w:numId w:val="2"/>
        </w:numPr>
        <w:spacing w:after="80"/>
      </w:pPr>
      <w:r>
        <w:t xml:space="preserve">What is the recommended workflow to curate AI-suggested relationships efficiently? Bulk reject low-confidence suggestions?</w:t>
      </w:r>
    </w:p>
    <w:p>
      <w:pPr>
        <w:pStyle w:val="ListParagraph"/>
        <w:numPr>
          <w:ilvl w:val="0"/>
          <w:numId w:val="2"/>
        </w:numPr>
        <w:spacing w:after="80"/>
      </w:pPr>
      <w:r>
        <w:t xml:space="preserve">Can the AI be constrained to propose relationships only within declared dimension groups, or only between fact and dim tables?</w:t>
      </w:r>
    </w:p>
    <w:p>
      <w:pPr>
        <w:pStyle w:val="ListParagraph"/>
        <w:numPr>
          <w:ilvl w:val="0"/>
          <w:numId w:val="2"/>
        </w:numPr>
        <w:spacing w:after="80"/>
      </w:pPr>
      <w:r>
        <w:t xml:space="preserve">When the AI suggests a multi-form attribute (e.g. Name Variant with ID, Variant Name, Canonical Name, Source System), how do we accept this cleanly without creating duplicate single-form attributes alongside?</w:t>
      </w:r>
    </w:p>
    <w:p>
      <w:pPr>
        <w:pStyle w:val="Heading2"/>
      </w:pPr>
      <w:r>
        <w:rPr>
          <w:b/>
          <w:bCs/>
        </w:rPr>
        <w:t xml:space="preserve">1.6 Duplicate attribute numbering</w:t>
      </w:r>
    </w:p>
    <w:p>
      <w:pPr>
        <w:spacing w:after="120"/>
      </w:pPr>
      <w:r>
        <w:t xml:space="preserve">When the same column name (e.g. counterparty_code, base_currency) appears in multiple tables, Mosaic creates separate attributes with (1), (2) suffixes. This is confusing and unsafe — these are usually the same business entity, but sometimes intentionally different (e.g. Governing Law in the counterparty table vs the agreement table mean different things).</w:t>
      </w:r>
    </w:p>
    <w:p>
      <w:pPr>
        <w:spacing w:after="120"/>
      </w:pPr>
      <w:r>
        <w:rPr>
          <w:b/>
          <w:bCs/>
        </w:rPr>
        <w:t xml:space="preserve">Questions for the vendor:</w:t>
      </w:r>
    </w:p>
    <w:p>
      <w:pPr>
        <w:pStyle w:val="ListParagraph"/>
        <w:numPr>
          <w:ilvl w:val="0"/>
          <w:numId w:val="2"/>
        </w:numPr>
        <w:spacing w:after="80"/>
      </w:pPr>
      <w:r>
        <w:t xml:space="preserve">What is the recommended pattern when the same column appears across fact and multiple dim tables? When do we "Release from Linking", when do we merge, when do we delete the duplicate?</w:t>
      </w:r>
    </w:p>
    <w:p>
      <w:pPr>
        <w:pStyle w:val="ListParagraph"/>
        <w:numPr>
          <w:ilvl w:val="0"/>
          <w:numId w:val="2"/>
        </w:numPr>
        <w:spacing w:after="80"/>
      </w:pPr>
      <w:r>
        <w:t xml:space="preserve">Is there a way for Mosaic to recognise that two columns with the same name across tables ARE the same business entity, treating one as the canonical attribute and the others as join keys only?</w:t>
      </w:r>
    </w:p>
    <w:p>
      <w:pPr>
        <w:pStyle w:val="Heading2"/>
      </w:pPr>
      <w:r>
        <w:rPr>
          <w:b/>
          <w:bCs/>
        </w:rPr>
        <w:t xml:space="preserve">1.7 Metadata governance with Unity Catalog</w:t>
      </w:r>
    </w:p>
    <w:p>
      <w:pPr>
        <w:spacing w:after="120"/>
      </w:pPr>
      <w:r>
        <w:t xml:space="preserve">Mosaic's AI auto-generates attribute descriptions that paraphrase the column descriptions defined in Unity Catalog. This creates a governance gap — we now have two slightly different business definitions for the same business term. In production, Unity Catalog should be the single source of truth.</w:t>
      </w:r>
    </w:p>
    <w:p>
      <w:pPr>
        <w:spacing w:after="120"/>
      </w:pPr>
      <w:r>
        <w:rPr>
          <w:b/>
          <w:bCs/>
        </w:rPr>
        <w:t xml:space="preserve">Questions for the vendor:</w:t>
      </w:r>
    </w:p>
    <w:p>
      <w:pPr>
        <w:pStyle w:val="ListParagraph"/>
        <w:numPr>
          <w:ilvl w:val="0"/>
          <w:numId w:val="2"/>
        </w:numPr>
        <w:spacing w:after="80"/>
      </w:pPr>
      <w:r>
        <w:t xml:space="preserve">Can Mosaic consume attribute descriptions from Unity Catalog as the source of truth, instead of paraphrasing?</w:t>
      </w:r>
    </w:p>
    <w:p>
      <w:pPr>
        <w:pStyle w:val="ListParagraph"/>
        <w:numPr>
          <w:ilvl w:val="0"/>
          <w:numId w:val="2"/>
        </w:numPr>
        <w:spacing w:after="80"/>
      </w:pPr>
      <w:r>
        <w:t xml:space="preserve">Is there a sync mechanism so that when a definition changes in Unity Catalog, the Mosaic metadata updates automatically?</w:t>
      </w:r>
    </w:p>
    <w:p>
      <w:pPr>
        <w:pStyle w:val="ListParagraph"/>
        <w:numPr>
          <w:ilvl w:val="0"/>
          <w:numId w:val="2"/>
        </w:numPr>
        <w:spacing w:after="80"/>
      </w:pPr>
      <w:r>
        <w:t xml:space="preserve">How does Mosaic Sentinel (the new governance platform) interact with Unity Catalog — does it detect drift between the two?</w:t>
      </w:r>
    </w:p>
    <w:p>
      <w:pPr>
        <w:pStyle w:val="Heading1"/>
      </w:pPr>
      <w:r>
        <w:rPr>
          <w:b/>
          <w:bCs/>
        </w:rPr>
        <w:t xml:space="preserve">2. Dashboard</w:t>
      </w:r>
    </w:p>
    <w:p>
      <w:pPr>
        <w:spacing w:after="120"/>
      </w:pPr>
      <w:r>
        <w:rPr>
          <w:b/>
          <w:bCs/>
        </w:rPr>
        <w:t xml:space="preserve">Context: </w:t>
      </w:r>
      <w:r>
        <w:t xml:space="preserve">We have built a working dashboard on the CCR semantic model — counterparty summary on Page 1, trade detail on Page 2. The questions below relate to dashboard authoring behaviour that is unclear, working as designed in ways that surprised us, or where we suspect a genuine gap in the product.</w:t>
      </w:r>
    </w:p>
    <w:p>
      <w:pPr>
        <w:pStyle w:val="Heading2"/>
      </w:pPr>
      <w:r>
        <w:rPr>
          <w:b/>
          <w:bCs/>
        </w:rPr>
        <w:t xml:space="preserve">2.1 Drill To vs Replace With</w:t>
      </w:r>
    </w:p>
    <w:p>
      <w:pPr>
        <w:spacing w:after="120"/>
      </w:pPr>
      <w:r>
        <w:t xml:space="preserve">Right-clicking a column header offers both Drill and Replace With. In a flat single-attribute grid both behave identically — they swap the column and re-aggregate the measures. The difference is supposed to emerge only when hierarchy paths are declared, the grid has nesting, or filter-carrying matters.</w:t>
      </w:r>
    </w:p>
    <w:p>
      <w:pPr>
        <w:spacing w:after="120"/>
      </w:pPr>
      <w:r>
        <w:rPr>
          <w:b/>
          <w:bCs/>
        </w:rPr>
        <w:t xml:space="preserve">Questions for the vendor:</w:t>
      </w:r>
    </w:p>
    <w:p>
      <w:pPr>
        <w:pStyle w:val="ListParagraph"/>
        <w:numPr>
          <w:ilvl w:val="0"/>
          <w:numId w:val="2"/>
        </w:numPr>
        <w:spacing w:after="80"/>
      </w:pPr>
      <w:r>
        <w:t xml:space="preserve">Show us a grid where Drill produces different SQL and different output than Replace With. What conditions trigger the divergence?</w:t>
      </w:r>
    </w:p>
    <w:p>
      <w:pPr>
        <w:pStyle w:val="ListParagraph"/>
        <w:numPr>
          <w:ilvl w:val="0"/>
          <w:numId w:val="2"/>
        </w:numPr>
        <w:spacing w:after="80"/>
      </w:pPr>
      <w:r>
        <w:t xml:space="preserve">When the user drills, do dashboard chapter filters always carry through? Can this be controlled per drill action?</w:t>
      </w:r>
    </w:p>
    <w:p>
      <w:pPr>
        <w:pStyle w:val="Heading2"/>
      </w:pPr>
      <w:r>
        <w:rPr>
          <w:b/>
          <w:bCs/>
        </w:rPr>
        <w:t xml:space="preserve">2.2 Drill target list is unwieldy</w:t>
      </w:r>
    </w:p>
    <w:p>
      <w:pPr>
        <w:spacing w:after="120"/>
      </w:pPr>
      <w:r>
        <w:t xml:space="preserve">The drill / replace dropdown shows every attribute in the model — long, painful to scroll, and gives the user options that make no business sense for that particular grid.</w:t>
      </w:r>
    </w:p>
    <w:p>
      <w:pPr>
        <w:spacing w:after="120"/>
      </w:pPr>
      <w:r>
        <w:rPr>
          <w:b/>
          <w:bCs/>
        </w:rPr>
        <w:t xml:space="preserve">Questions for the vendor:</w:t>
      </w:r>
    </w:p>
    <w:p>
      <w:pPr>
        <w:pStyle w:val="ListParagraph"/>
        <w:numPr>
          <w:ilvl w:val="0"/>
          <w:numId w:val="2"/>
        </w:numPr>
        <w:spacing w:after="80"/>
      </w:pPr>
      <w:r>
        <w:t xml:space="preserve">Can we scope drill targets per visualization or per attribute? For an exposure grid, restrict drill options to the Counterparty and Time hierarchies only.</w:t>
      </w:r>
    </w:p>
    <w:p>
      <w:pPr>
        <w:pStyle w:val="ListParagraph"/>
        <w:numPr>
          <w:ilvl w:val="0"/>
          <w:numId w:val="2"/>
        </w:numPr>
        <w:spacing w:after="80"/>
      </w:pPr>
      <w:r>
        <w:t xml:space="preserve">Walk us through how to configure a drill map and what gets inherited vs overridden at the dashboard level.</w:t>
      </w:r>
    </w:p>
    <w:p>
      <w:pPr>
        <w:pStyle w:val="Heading2"/>
      </w:pPr>
      <w:r>
        <w:rPr>
          <w:b/>
          <w:bCs/>
        </w:rPr>
        <w:t xml:space="preserve">2.3 Expand and collapse — nesting</w:t>
      </w:r>
    </w:p>
    <w:p>
      <w:pPr>
        <w:spacing w:after="120"/>
      </w:pPr>
      <w:r>
        <w:t xml:space="preserve">Drill To behaves like a pivot — it replaces the current breakdown rather than adding a level. To get expand/collapse nesting (Year &gt; Quarter &gt; Month &gt; Day) we have to drag multiple hierarchy levels onto the grid rows at build time, and the parent-child relationships have to be declared in the model.</w:t>
      </w:r>
    </w:p>
    <w:p>
      <w:pPr>
        <w:spacing w:after="120"/>
      </w:pPr>
      <w:r>
        <w:rPr>
          <w:b/>
          <w:bCs/>
        </w:rPr>
        <w:t xml:space="preserve">Questions for the vendor:</w:t>
      </w:r>
    </w:p>
    <w:p>
      <w:pPr>
        <w:pStyle w:val="ListParagraph"/>
        <w:numPr>
          <w:ilvl w:val="0"/>
          <w:numId w:val="2"/>
        </w:numPr>
        <w:spacing w:after="80"/>
      </w:pPr>
      <w:r>
        <w:t xml:space="preserve">Confirming this is the only way to get expand/collapse — composition at build time, not a runtime drill action?</w:t>
      </w:r>
    </w:p>
    <w:p>
      <w:pPr>
        <w:pStyle w:val="ListParagraph"/>
        <w:numPr>
          <w:ilvl w:val="0"/>
          <w:numId w:val="2"/>
        </w:numPr>
        <w:spacing w:after="80"/>
      </w:pPr>
      <w:r>
        <w:t xml:space="preserve">When the hierarchy is declared but the expand/collapse triangles do not appear on the grid, what is the diagnostic path?</w:t>
      </w:r>
    </w:p>
    <w:p>
      <w:pPr>
        <w:pStyle w:val="ListParagraph"/>
        <w:numPr>
          <w:ilvl w:val="0"/>
          <w:numId w:val="2"/>
        </w:numPr>
        <w:spacing w:after="80"/>
      </w:pPr>
      <w:r>
        <w:t xml:space="preserve">Can the dashboard author offer the user a choice at runtime — flat grid vs nested grid — without rebuilding the visualization?</w:t>
      </w:r>
    </w:p>
    <w:p>
      <w:pPr>
        <w:pStyle w:val="Heading2"/>
      </w:pPr>
      <w:r>
        <w:rPr>
          <w:b/>
          <w:bCs/>
        </w:rPr>
        <w:t xml:space="preserve">2.4 Drill via Contextual Link (page link)</w:t>
      </w:r>
    </w:p>
    <w:p>
      <w:pPr>
        <w:spacing w:after="120"/>
      </w:pPr>
      <w:r>
        <w:t xml:space="preserve">The page-link drill — click a counterparty on Page 1, land on Page 2 trade detail filtered by that counterparty — has to be defined separately as a Link, not via the right-click Drill menu. We have had trouble getting this to behave reliably.</w:t>
      </w:r>
    </w:p>
    <w:p>
      <w:pPr>
        <w:spacing w:after="120"/>
      </w:pPr>
      <w:r>
        <w:rPr>
          <w:b/>
          <w:bCs/>
        </w:rPr>
        <w:t xml:space="preserve">Questions for the vendor:</w:t>
      </w:r>
    </w:p>
    <w:p>
      <w:pPr>
        <w:pStyle w:val="ListParagraph"/>
        <w:numPr>
          <w:ilvl w:val="0"/>
          <w:numId w:val="2"/>
        </w:numPr>
        <w:spacing w:after="80"/>
      </w:pPr>
      <w:r>
        <w:t xml:space="preserve">Walk us through configuring a working drill via Link end-to-end — counterparty grid on Page 1, click row, land on Page 2 with trade detail filtered to that counterparty.</w:t>
      </w:r>
    </w:p>
    <w:p>
      <w:pPr>
        <w:pStyle w:val="ListParagraph"/>
        <w:numPr>
          <w:ilvl w:val="0"/>
          <w:numId w:val="2"/>
        </w:numPr>
        <w:spacing w:after="80"/>
      </w:pPr>
      <w:r>
        <w:t xml:space="preserve">What are the common failure modes when the link does not pass filters through correctly?</w:t>
      </w:r>
    </w:p>
    <w:p>
      <w:pPr>
        <w:pStyle w:val="ListParagraph"/>
        <w:numPr>
          <w:ilvl w:val="0"/>
          <w:numId w:val="2"/>
        </w:numPr>
        <w:spacing w:after="80"/>
      </w:pPr>
      <w:r>
        <w:t xml:space="preserve">Can a link be set as the default action on an attribute, so the user clicks rather than right-clicks?</w:t>
      </w:r>
    </w:p>
    <w:p>
      <w:pPr>
        <w:pStyle w:val="ListParagraph"/>
        <w:numPr>
          <w:ilvl w:val="0"/>
          <w:numId w:val="2"/>
        </w:numPr>
        <w:spacing w:after="80"/>
      </w:pPr>
      <w:r>
        <w:t xml:space="preserve">When the user clicks back from the linked page, is the original page state (filters, scroll position) preserved?</w:t>
      </w:r>
    </w:p>
    <w:p>
      <w:pPr>
        <w:pStyle w:val="Heading2"/>
      </w:pPr>
      <w:r>
        <w:rPr>
          <w:b/>
          <w:bCs/>
        </w:rPr>
        <w:t xml:space="preserve">2.5 Compound filters with AND / OR</w:t>
      </w:r>
    </w:p>
    <w:p>
      <w:pPr>
        <w:spacing w:after="120"/>
      </w:pPr>
      <w:r>
        <w:t xml:space="preserve">Dashboard filter widgets — Search Box, Slider, Drop-down, Check Boxes — all appear to be attribute element list filters with a UI veneer. Underneath, every one is doing the same thing: "attribute element is in selected set". We have not found a way to construct compound filter expressions on a dashboard.</w:t>
      </w:r>
    </w:p>
    <w:p>
      <w:pPr>
        <w:spacing w:after="120"/>
      </w:pPr>
      <w:r>
        <w:rPr>
          <w:b/>
          <w:bCs/>
        </w:rPr>
        <w:t xml:space="preserve">Questions for the vendor:</w:t>
      </w:r>
    </w:p>
    <w:p>
      <w:pPr>
        <w:pStyle w:val="ListParagraph"/>
        <w:numPr>
          <w:ilvl w:val="0"/>
          <w:numId w:val="2"/>
        </w:numPr>
        <w:spacing w:after="80"/>
      </w:pPr>
      <w:r>
        <w:t xml:space="preserve">How do we construct a compound filter like </w:t>
      </w:r>
      <w:r>
        <w:rPr>
          <w:i/>
          <w:iCs/>
        </w:rPr>
        <w:t xml:space="preserve">(Counterparty Region = EU AND Exposure &gt; 100M) OR (Counterparty Region = US AND Exposure &gt; 200M)</w:t>
      </w:r>
      <w:r>
        <w:t xml:space="preserve"> on a dashboard?</w:t>
      </w:r>
    </w:p>
    <w:p>
      <w:pPr>
        <w:pStyle w:val="ListParagraph"/>
        <w:numPr>
          <w:ilvl w:val="0"/>
          <w:numId w:val="2"/>
        </w:numPr>
        <w:spacing w:after="80"/>
      </w:pPr>
      <w:r>
        <w:t xml:space="preserve">Where is the expression editor in the dashboard authoring surface? If it does not exist there, is the only path to define a standalone filter object and reference it from the dashboard?</w:t>
      </w:r>
    </w:p>
    <w:p>
      <w:pPr>
        <w:pStyle w:val="ListParagraph"/>
        <w:numPr>
          <w:ilvl w:val="0"/>
          <w:numId w:val="2"/>
        </w:numPr>
        <w:spacing w:after="80"/>
      </w:pPr>
      <w:r>
        <w:t xml:space="preserve">Can a filter widget target multiple attributes with OR — for example, a single search box that filters both Counterparty Name and Booked Name?</w:t>
      </w:r>
    </w:p>
    <w:p>
      <w:pPr>
        <w:pStyle w:val="Heading2"/>
      </w:pPr>
      <w:r>
        <w:rPr>
          <w:b/>
          <w:bCs/>
        </w:rPr>
        <w:t xml:space="preserve">2.6 Multi-form attribute rendering on grids</w:t>
      </w:r>
    </w:p>
    <w:p>
      <w:pPr>
        <w:spacing w:after="120"/>
      </w:pPr>
      <w:r>
        <w:t xml:space="preserve">When a multi-form attribute is placed on a grid as a column, Mosaic renders all the forms as separate sub-columns in the same row. This is confusing — visually it looks like multiple columns when conceptually it is one attribute.</w:t>
      </w:r>
    </w:p>
    <w:p>
      <w:pPr>
        <w:spacing w:after="120"/>
      </w:pPr>
      <w:r>
        <w:rPr>
          <w:b/>
          <w:bCs/>
        </w:rPr>
        <w:t xml:space="preserve">Questions for the vendor:</w:t>
      </w:r>
    </w:p>
    <w:p>
      <w:pPr>
        <w:pStyle w:val="ListParagraph"/>
        <w:numPr>
          <w:ilvl w:val="0"/>
          <w:numId w:val="2"/>
        </w:numPr>
        <w:spacing w:after="80"/>
      </w:pPr>
      <w:r>
        <w:t xml:space="preserve">How do we control which forms render on a grid? Show only the canonical name and hide ID, source system, etc, while keeping them available for filtering.</w:t>
      </w:r>
    </w:p>
    <w:p>
      <w:pPr>
        <w:pStyle w:val="ListParagraph"/>
        <w:numPr>
          <w:ilvl w:val="0"/>
          <w:numId w:val="2"/>
        </w:numPr>
        <w:spacing w:after="80"/>
      </w:pPr>
      <w:r>
        <w:t xml:space="preserve">Is the display-forms selection a per-grid setting or a per-attribute default? Both?</w:t>
      </w:r>
    </w:p>
    <w:p>
      <w:pPr>
        <w:pStyle w:val="Heading2"/>
      </w:pPr>
      <w:r>
        <w:rPr>
          <w:b/>
          <w:bCs/>
        </w:rPr>
        <w:t xml:space="preserve">2.7 Live vs Import mode</w:t>
      </w:r>
    </w:p>
    <w:p>
      <w:pPr>
        <w:spacing w:after="120"/>
      </w:pPr>
      <w:r>
        <w:t xml:space="preserve">Mosaic silently switched the model from Live to Import when a Data Prep transform was added. This breaks live-update behaviour and any downstream demos that depend on row-level security or real-time data.</w:t>
      </w:r>
    </w:p>
    <w:p>
      <w:pPr>
        <w:spacing w:after="120"/>
      </w:pPr>
      <w:r>
        <w:rPr>
          <w:b/>
          <w:bCs/>
        </w:rPr>
        <w:t xml:space="preserve">Questions for the vendor:</w:t>
      </w:r>
    </w:p>
    <w:p>
      <w:pPr>
        <w:pStyle w:val="ListParagraph"/>
        <w:numPr>
          <w:ilvl w:val="0"/>
          <w:numId w:val="2"/>
        </w:numPr>
        <w:spacing w:after="80"/>
      </w:pPr>
      <w:r>
        <w:t xml:space="preserve">Which authoring actions force a switch from Live to Import mode?</w:t>
      </w:r>
    </w:p>
    <w:p>
      <w:pPr>
        <w:pStyle w:val="ListParagraph"/>
        <w:numPr>
          <w:ilvl w:val="0"/>
          <w:numId w:val="2"/>
        </w:numPr>
        <w:spacing w:after="80"/>
      </w:pPr>
      <w:r>
        <w:t xml:space="preserve">Is there a clear UI indicator showing the current mode, and a warning before a Live model is silently downgraded?</w:t>
      </w:r>
    </w:p>
    <w:p>
      <w:pPr>
        <w:pStyle w:val="ListParagraph"/>
        <w:numPr>
          <w:ilvl w:val="0"/>
          <w:numId w:val="2"/>
        </w:numPr>
        <w:spacing w:after="80"/>
      </w:pPr>
      <w:r>
        <w:t xml:space="preserve">How do we reverse the switch — back from Import to Live — without rebuilding the model?</w:t>
      </w:r>
    </w:p>
    <w:p>
      <w:pPr>
        <w:pStyle w:val="Heading2"/>
      </w:pPr>
      <w:r>
        <w:rPr>
          <w:b/>
          <w:bCs/>
        </w:rPr>
        <w:t xml:space="preserve">2.8 Row-level security and column masking</w:t>
      </w:r>
    </w:p>
    <w:p>
      <w:pPr>
        <w:spacing w:after="120"/>
      </w:pPr>
      <w:r>
        <w:t xml:space="preserve">Different consumers will see different slices of the same dashboard. Traders should see only their book; risk officers see everything; senior management may see aggregates only. The mechanism for this is unclear.</w:t>
      </w:r>
    </w:p>
    <w:p>
      <w:pPr>
        <w:spacing w:after="120"/>
      </w:pPr>
      <w:r>
        <w:rPr>
          <w:b/>
          <w:bCs/>
        </w:rPr>
        <w:t xml:space="preserve">Questions for the vendor:</w:t>
      </w:r>
    </w:p>
    <w:p>
      <w:pPr>
        <w:pStyle w:val="ListParagraph"/>
        <w:numPr>
          <w:ilvl w:val="0"/>
          <w:numId w:val="2"/>
        </w:numPr>
        <w:spacing w:after="80"/>
      </w:pPr>
      <w:r>
        <w:t xml:space="preserve">How is row-level security implemented in Mosaic — at the attribute level, at the model level, or inherited from Unity Catalog?</w:t>
      </w:r>
    </w:p>
    <w:p>
      <w:pPr>
        <w:pStyle w:val="ListParagraph"/>
        <w:numPr>
          <w:ilvl w:val="0"/>
          <w:numId w:val="2"/>
        </w:numPr>
        <w:spacing w:after="80"/>
      </w:pPr>
      <w:r>
        <w:t xml:space="preserve">When Mosaic is in Live mode, does it pass the user identity through to Unity Catalog so UC-level row filters apply automatically? Or do we have to redefine security inside Mosaic?</w:t>
      </w:r>
    </w:p>
    <w:p>
      <w:pPr>
        <w:pStyle w:val="ListParagraph"/>
        <w:numPr>
          <w:ilvl w:val="0"/>
          <w:numId w:val="2"/>
        </w:numPr>
        <w:spacing w:after="80"/>
      </w:pPr>
      <w:r>
        <w:t xml:space="preserve">How does column masking interact with metrics — if a column is masked for a user, do metrics that aggregate that column still compute, or do they fail?</w:t>
      </w:r>
    </w:p>
    <w:p>
      <w:pPr>
        <w:pStyle w:val="Heading2"/>
      </w:pPr>
      <w:r>
        <w:rPr>
          <w:b/>
          <w:bCs/>
        </w:rPr>
        <w:t xml:space="preserve">2.9 Dashboard performance in Live mode</w:t>
      </w:r>
    </w:p>
    <w:p>
      <w:pPr>
        <w:spacing w:after="120"/>
      </w:pPr>
      <w:r>
        <w:t xml:space="preserve">Our POC has 102 rows on the exposure fact and 132 trades — performance is fine. Production scale (counterparty positions, daily exposures across all books) will be many orders of magnitude larger.</w:t>
      </w:r>
    </w:p>
    <w:p>
      <w:pPr>
        <w:spacing w:after="120"/>
      </w:pPr>
      <w:r>
        <w:rPr>
          <w:b/>
          <w:bCs/>
        </w:rPr>
        <w:t xml:space="preserve">Questions for the vendor:</w:t>
      </w:r>
    </w:p>
    <w:p>
      <w:pPr>
        <w:pStyle w:val="ListParagraph"/>
        <w:numPr>
          <w:ilvl w:val="0"/>
          <w:numId w:val="2"/>
        </w:numPr>
        <w:spacing w:after="80"/>
      </w:pPr>
      <w:r>
        <w:t xml:space="preserve">At what scale does Live mode performance start to degrade, and what are the levers to tune it — caching, in-memory cubes, hybrid mode?</w:t>
      </w:r>
    </w:p>
    <w:p>
      <w:pPr>
        <w:pStyle w:val="ListParagraph"/>
        <w:numPr>
          <w:ilvl w:val="0"/>
          <w:numId w:val="2"/>
        </w:numPr>
        <w:spacing w:after="80"/>
      </w:pPr>
      <w:r>
        <w:t xml:space="preserve">When a user opens a dashboard, how many queries fire against Databricks? Can multiple visualizations on the same page share a single query?</w:t>
      </w:r>
    </w:p>
    <w:p>
      <w:pPr>
        <w:pStyle w:val="ListParagraph"/>
        <w:numPr>
          <w:ilvl w:val="0"/>
          <w:numId w:val="2"/>
        </w:numPr>
        <w:spacing w:after="80"/>
      </w:pPr>
      <w:r>
        <w:t xml:space="preserve">What is the recommended approach when a model needs to serve both a Live operational dashboard and a heavy analytical query — same model, two models, hybrid?</w:t>
      </w:r>
    </w:p>
    <w:p>
      <w:pPr>
        <w:pStyle w:val="Heading2"/>
      </w:pPr>
      <w:r>
        <w:rPr>
          <w:b/>
          <w:bCs/>
        </w:rPr>
        <w:t xml:space="preserve">2.10 Impact analysis when the model changes</w:t>
      </w:r>
    </w:p>
    <w:p>
      <w:pPr>
        <w:spacing w:after="120"/>
      </w:pPr>
      <w:r>
        <w:t xml:space="preserve">As the model evolves — attributes renamed, metrics redefined, relationships changed — we need to know which dashboards, reports, and downstream consumers are affected before we publish the change.</w:t>
      </w:r>
    </w:p>
    <w:p>
      <w:pPr>
        <w:spacing w:after="120"/>
      </w:pPr>
      <w:r>
        <w:rPr>
          <w:b/>
          <w:bCs/>
        </w:rPr>
        <w:t xml:space="preserve">Questions for the vendor:</w:t>
      </w:r>
    </w:p>
    <w:p>
      <w:pPr>
        <w:pStyle w:val="ListParagraph"/>
        <w:numPr>
          <w:ilvl w:val="0"/>
          <w:numId w:val="2"/>
        </w:numPr>
        <w:spacing w:after="80"/>
      </w:pPr>
      <w:r>
        <w:t xml:space="preserve">Is there a built-in impact analysis tool that shows which dashboards depend on a given attribute or metric?</w:t>
      </w:r>
    </w:p>
    <w:p>
      <w:pPr>
        <w:pStyle w:val="ListParagraph"/>
        <w:numPr>
          <w:ilvl w:val="0"/>
          <w:numId w:val="2"/>
        </w:numPr>
        <w:spacing w:after="80"/>
      </w:pPr>
      <w:r>
        <w:t xml:space="preserve">When an attribute is renamed or deleted, what happens to dashboards using it — silent break, warning, automatic update?</w:t>
      </w:r>
    </w:p>
    <w:p>
      <w:pPr>
        <w:pStyle w:val="ListParagraph"/>
        <w:numPr>
          <w:ilvl w:val="0"/>
          <w:numId w:val="2"/>
        </w:numPr>
        <w:spacing w:after="80"/>
      </w:pPr>
      <w:r>
        <w:t xml:space="preserve">Does Mosaic Sentinel provide change-impact visibility, or is this a separate capability?</w:t>
      </w:r>
    </w:p>
    <w:p>
      <w:pPr>
        <w:pStyle w:val="Heading1"/>
      </w:pPr>
      <w:r>
        <w:rPr>
          <w:b/>
          <w:bCs/>
        </w:rPr>
        <w:t xml:space="preserve">3. Cross-cutting concerns</w:t>
      </w:r>
    </w:p>
    <w:p>
      <w:pPr>
        <w:pStyle w:val="Heading2"/>
      </w:pPr>
      <w:r>
        <w:rPr>
          <w:b/>
          <w:bCs/>
        </w:rPr>
        <w:t xml:space="preserve">3.1 AI and the semantic layer</w:t>
      </w:r>
    </w:p>
    <w:p>
      <w:pPr>
        <w:spacing w:after="120"/>
      </w:pPr>
      <w:r>
        <w:t xml:space="preserve">Strategy positions the semantic layer as the trustworthy foundation under all the Auto AI capabilities — Auto Answers, Auto Dashboard, Voice Agents, MCP. The principle is: the LLM handles language, the semantic layer handles math. We want to validate this with our own model.</w:t>
      </w:r>
    </w:p>
    <w:p>
      <w:pPr>
        <w:spacing w:after="120"/>
      </w:pPr>
      <w:r>
        <w:rPr>
          <w:b/>
          <w:bCs/>
        </w:rPr>
        <w:t xml:space="preserve">Questions for the vendor:</w:t>
      </w:r>
    </w:p>
    <w:p>
      <w:pPr>
        <w:pStyle w:val="ListParagraph"/>
        <w:numPr>
          <w:ilvl w:val="0"/>
          <w:numId w:val="2"/>
        </w:numPr>
        <w:spacing w:after="80"/>
      </w:pPr>
      <w:r>
        <w:t xml:space="preserve">With our CCR semantic model loaded, demonstrate Auto Answers against it. We want to ask "which counterparties have direct exposure over 100M as of 31 March" and see the answer reconcile to the dashboard.</w:t>
      </w:r>
    </w:p>
    <w:p>
      <w:pPr>
        <w:pStyle w:val="ListParagraph"/>
        <w:numPr>
          <w:ilvl w:val="0"/>
          <w:numId w:val="2"/>
        </w:numPr>
        <w:spacing w:after="80"/>
      </w:pPr>
      <w:r>
        <w:t xml:space="preserve">When the user asks a question that requires a semi-additive measure to be aggregated incorrectly (e.g. "total exposure across the year"), what does Auto do? Refuse, warn, or silently return a misleading number?</w:t>
      </w:r>
    </w:p>
    <w:p>
      <w:pPr>
        <w:pStyle w:val="ListParagraph"/>
        <w:numPr>
          <w:ilvl w:val="0"/>
          <w:numId w:val="2"/>
        </w:numPr>
        <w:spacing w:after="80"/>
      </w:pPr>
      <w:r>
        <w:t xml:space="preserve">For the MCP integration — when an external tool like Claude or Copilot connects to our Mosaic semantic layer, does it inherit all the aggregation rules and security, or just the schema?</w:t>
      </w:r>
    </w:p>
    <w:p>
      <w:pPr>
        <w:pStyle w:val="Heading2"/>
      </w:pPr>
      <w:r>
        <w:rPr>
          <w:b/>
          <w:bCs/>
        </w:rPr>
        <w:t xml:space="preserve">3.2 Offline LLM and TD's AI policy</w:t>
      </w:r>
    </w:p>
    <w:p>
      <w:pPr>
        <w:spacing w:after="120"/>
      </w:pPr>
      <w:r>
        <w:t xml:space="preserve">TD's current policy approves Azure OpenAI and Microsoft 365 Copilot for AI use. Databricks AI features (Mosaic AI, Genie, Foundation Model APIs) are not approved at this time.</w:t>
      </w:r>
    </w:p>
    <w:p>
      <w:pPr>
        <w:spacing w:after="120"/>
      </w:pPr>
      <w:r>
        <w:rPr>
          <w:b/>
          <w:bCs/>
        </w:rPr>
        <w:t xml:space="preserve">Questions for the vendor:</w:t>
      </w:r>
    </w:p>
    <w:p>
      <w:pPr>
        <w:pStyle w:val="ListParagraph"/>
        <w:numPr>
          <w:ilvl w:val="0"/>
          <w:numId w:val="2"/>
        </w:numPr>
        <w:spacing w:after="80"/>
      </w:pPr>
      <w:r>
        <w:t xml:space="preserve">Strategy AI supports offline LLM models — what is the configuration path to point Auto at Azure OpenAI specifically rather than a default LLM?</w:t>
      </w:r>
    </w:p>
    <w:p>
      <w:pPr>
        <w:pStyle w:val="ListParagraph"/>
        <w:numPr>
          <w:ilvl w:val="0"/>
          <w:numId w:val="2"/>
        </w:numPr>
        <w:spacing w:after="80"/>
      </w:pPr>
      <w:r>
        <w:t xml:space="preserve">Can Strategy be configured to use TD-approved LLMs only, and refuse to fall back to other providers?</w:t>
      </w:r>
    </w:p>
    <w:p>
      <w:pPr>
        <w:pStyle w:val="ListParagraph"/>
        <w:numPr>
          <w:ilvl w:val="0"/>
          <w:numId w:val="2"/>
        </w:numPr>
        <w:spacing w:after="80"/>
      </w:pPr>
      <w:r>
        <w:t xml:space="preserve">What data leaves the TD environment when Auto processes a question — only the natural-language question, or also data values, schema, metric definitions?</w:t>
      </w:r>
    </w:p>
    <w:p>
      <w:pPr>
        <w:pStyle w:val="Heading2"/>
      </w:pPr>
      <w:r>
        <w:rPr>
          <w:b/>
          <w:bCs/>
        </w:rPr>
        <w:t xml:space="preserve">3.3 Mosaic Sentinel — governance and audit</w:t>
      </w:r>
    </w:p>
    <w:p>
      <w:pPr>
        <w:spacing w:after="120"/>
      </w:pPr>
      <w:r>
        <w:t xml:space="preserve">The newly announced Mosaic Sentinel provides risk alerts, audit visibility, and usage insights across the semantic layer. This is directly relevant to BCBS 239 and our internal audit requirements.</w:t>
      </w:r>
    </w:p>
    <w:p>
      <w:pPr>
        <w:spacing w:after="120"/>
      </w:pPr>
      <w:r>
        <w:rPr>
          <w:b/>
          <w:bCs/>
        </w:rPr>
        <w:t xml:space="preserve">Questions for the vendor:</w:t>
      </w:r>
    </w:p>
    <w:p>
      <w:pPr>
        <w:pStyle w:val="ListParagraph"/>
        <w:numPr>
          <w:ilvl w:val="0"/>
          <w:numId w:val="2"/>
        </w:numPr>
        <w:spacing w:after="80"/>
      </w:pPr>
      <w:r>
        <w:t xml:space="preserve">Walk us through Sentinel's Risk Management, Audit &amp; Compliance, and Usage Insights modules with a worked example on our CCR model.</w:t>
      </w:r>
    </w:p>
    <w:p>
      <w:pPr>
        <w:pStyle w:val="ListParagraph"/>
        <w:numPr>
          <w:ilvl w:val="0"/>
          <w:numId w:val="2"/>
        </w:numPr>
        <w:spacing w:after="80"/>
      </w:pPr>
      <w:r>
        <w:t xml:space="preserve">What does Sentinel detect — definition drift, unauthorized changes, unusual access patterns?</w:t>
      </w:r>
    </w:p>
    <w:p>
      <w:pPr>
        <w:pStyle w:val="ListParagraph"/>
        <w:numPr>
          <w:ilvl w:val="0"/>
          <w:numId w:val="2"/>
        </w:numPr>
        <w:spacing w:after="80"/>
      </w:pPr>
      <w:r>
        <w:t xml:space="preserve">Does Sentinel require a separate deployment or is it included in Strategy One?</w:t>
      </w:r>
    </w:p>
    <w:p>
      <w:pPr>
        <w:pStyle w:val="Heading2"/>
      </w:pPr>
      <w:r>
        <w:rPr>
          <w:b/>
          <w:bCs/>
        </w:rPr>
        <w:t xml:space="preserve">3.4 Linked models — Mosaic</w:t>
      </w:r>
    </w:p>
    <w:p>
      <w:pPr>
        <w:spacing w:after="120"/>
      </w:pPr>
      <w:r>
        <w:t xml:space="preserve">The preview feature for linked attributes across Mosaic models is relevant to our future state — we will likely build a CCR model first, then add Market Risk, Liquidity, and so on. The choice is whether to merge these into one giant model or link them.</w:t>
      </w:r>
    </w:p>
    <w:p>
      <w:pPr>
        <w:spacing w:after="120"/>
      </w:pPr>
      <w:r>
        <w:rPr>
          <w:b/>
          <w:bCs/>
        </w:rPr>
        <w:t xml:space="preserve">Questions for the vendor:</w:t>
      </w:r>
    </w:p>
    <w:p>
      <w:pPr>
        <w:pStyle w:val="ListParagraph"/>
        <w:numPr>
          <w:ilvl w:val="0"/>
          <w:numId w:val="2"/>
        </w:numPr>
        <w:spacing w:after="80"/>
      </w:pPr>
      <w:r>
        <w:t xml:space="preserve">When two models are linked, can a dashboard query across both, or is each query scoped to a single model?</w:t>
      </w:r>
    </w:p>
    <w:p>
      <w:pPr>
        <w:pStyle w:val="ListParagraph"/>
        <w:numPr>
          <w:ilvl w:val="0"/>
          <w:numId w:val="2"/>
        </w:numPr>
        <w:spacing w:after="80"/>
      </w:pPr>
      <w:r>
        <w:t xml:space="preserve">How do we ensure that conformed dimensions (Counterparty, Date) remain consistent across linked models?</w:t>
      </w:r>
    </w:p>
    <w:p>
      <w:pPr>
        <w:pStyle w:val="ListParagraph"/>
        <w:numPr>
          <w:ilvl w:val="0"/>
          <w:numId w:val="2"/>
        </w:numPr>
        <w:spacing w:after="80"/>
      </w:pPr>
      <w:r>
        <w:t xml:space="preserve">What is the readiness timeline for the linked-models feature — is it GA or still preview?</w:t>
      </w:r>
    </w:p>
    <w:p>
      <w:pPr>
        <w:pStyle w:val="Heading2"/>
      </w:pPr>
      <w:r>
        <w:rPr>
          <w:b/>
          <w:bCs/>
        </w:rPr>
        <w:t xml:space="preserve">3.5 Declarative semantics from data contracts — the architectural ask</w:t>
      </w:r>
    </w:p>
    <w:p>
      <w:pPr>
        <w:spacing w:after="120"/>
      </w:pPr>
      <w:r>
        <w:rPr>
          <w:b/>
          <w:bCs/>
        </w:rPr>
        <w:t xml:space="preserve">This is the most important architectural question in this document. </w:t>
      </w:r>
      <w:r>
        <w:t xml:space="preserve">TD is moving toward a data-products model where each product publishes a data contract — a YAML or equivalent specification that declares the product's schema, semantics, relationships, aggregation rules, grain, hierarchies, ownership, and SLAs. The contract is owned by the data producer, version-controlled in Git, and reviewed by data governance. It is the single source of truth for what the product means.</w:t>
      </w:r>
    </w:p>
    <w:p>
      <w:pPr>
        <w:spacing w:after="120"/>
      </w:pPr>
      <w:r>
        <w:t xml:space="preserve">The architectural ideal is that Mosaic does not hold a separate copy of these definitions. Mosaic reads the contract. The contract is the model. The Mosaic-side modelling work — accepting AI suggestions, defining attribute forms, declaring aggregation rules, building hierarchies — collapses to a generation step that compiles the YAML contract into Mosaic objects. The Mosaic UI becomes a renderer and explorer of the contract, not an authoring environment that competes with it.</w:t>
      </w:r>
    </w:p>
    <w:p>
      <w:pPr>
        <w:spacing w:after="120"/>
      </w:pPr>
      <w:r>
        <w:t xml:space="preserve">This matters because the alternative — definitions held inside Mosaic and inside Unity Catalog and inside Erwin — guarantees drift. Three sources of truth means no source of truth. The data contract YAML, owned by the producer, is the architectural solution.</w:t>
      </w:r>
    </w:p>
    <w:p>
      <w:pPr>
        <w:spacing w:after="120"/>
      </w:pPr>
      <w:r>
        <w:rPr>
          <w:b/>
          <w:bCs/>
        </w:rPr>
        <w:t xml:space="preserve">Questions for the vendor:</w:t>
      </w:r>
    </w:p>
    <w:p>
      <w:pPr>
        <w:pStyle w:val="ListParagraph"/>
        <w:numPr>
          <w:ilvl w:val="0"/>
          <w:numId w:val="2"/>
        </w:numPr>
        <w:spacing w:after="80"/>
      </w:pPr>
      <w:r>
        <w:t xml:space="preserve">Does Strategy support consuming a data contract or semantic specification (YAML, JSON, or equivalent) as the input to build a Mosaic model? If yes, walk us through it. If no, is it on the roadmap?</w:t>
      </w:r>
    </w:p>
    <w:p>
      <w:pPr>
        <w:pStyle w:val="ListParagraph"/>
        <w:numPr>
          <w:ilvl w:val="0"/>
          <w:numId w:val="2"/>
        </w:numPr>
        <w:spacing w:after="80"/>
      </w:pPr>
      <w:r>
        <w:t xml:space="preserve">For the elements that matter most — metric definitions with grain and aggregation rules, parent-child hierarchies, attribute forms, conformed dimensions — can these be expressed declaratively and imported, or must they all be authored in the Mosaic UI?</w:t>
      </w:r>
    </w:p>
    <w:p>
      <w:pPr>
        <w:pStyle w:val="ListParagraph"/>
        <w:numPr>
          <w:ilvl w:val="0"/>
          <w:numId w:val="2"/>
        </w:numPr>
        <w:spacing w:after="80"/>
      </w:pPr>
      <w:r>
        <w:t xml:space="preserve">Is there integration with dbt MetricFlow, Cube.dev, or other YAML-based semantic-layer standards? When the industry moves to declarative semantic layers, where does Strategy sit?</w:t>
      </w:r>
    </w:p>
    <w:p>
      <w:pPr>
        <w:pStyle w:val="ListParagraph"/>
        <w:numPr>
          <w:ilvl w:val="0"/>
          <w:numId w:val="2"/>
        </w:numPr>
        <w:spacing w:after="80"/>
      </w:pPr>
      <w:r>
        <w:t xml:space="preserve">If a producer updates their data contract — a new metric, a changed aggregation rule, a renamed attribute — what is the propagation path into Mosaic? Manual rebuild, scheduled sync, event-driven update?</w:t>
      </w:r>
    </w:p>
    <w:p>
      <w:pPr>
        <w:pStyle w:val="ListParagraph"/>
        <w:numPr>
          <w:ilvl w:val="0"/>
          <w:numId w:val="2"/>
        </w:numPr>
        <w:spacing w:after="80"/>
      </w:pPr>
      <w:r>
        <w:t xml:space="preserve">Can Mosaic Sentinel detect drift between an external contract and the Mosaic-side definitions, and flag the divergence for governance review?</w:t>
      </w:r>
    </w:p>
    <w:p>
      <w:pPr>
        <w:pStyle w:val="ListParagraph"/>
        <w:numPr>
          <w:ilvl w:val="0"/>
          <w:numId w:val="2"/>
        </w:numPr>
        <w:spacing w:after="80"/>
      </w:pPr>
      <w:r>
        <w:t xml:space="preserve">For the producer-consumer pattern — producer publishes a data product with semantics, consumer (Mosaic) renders it — how does Strategy fit? What does the producer publish, and what does Mosaic ingest?</w:t>
      </w:r>
    </w:p>
    <w:p>
      <w:pPr>
        <w:spacing w:after="120"/>
      </w:pPr>
      <w:r>
        <w:rPr>
          <w:b/>
          <w:bCs/>
        </w:rPr>
        <w:t xml:space="preserve">Why this question matters for our decision: </w:t>
      </w:r>
      <w:r>
        <w:t xml:space="preserve">If Strategy can consume the data contract directly, it becomes a natural fit for the data-products architecture. If Strategy requires definitions to be re-entered in its own UI, then every data product we publish creates a duplicate definition in Mosaic that must be kept in sync — which is exactly the governance problem we are trying to eliminate. The vendor's answer here will materially influence whether Strategy is the right tool for the target state, or only the right tool for the interim.</w:t>
      </w:r>
    </w:p>
    <w:p>
      <w:r>
        <w:t xml:space="preserve"/>
      </w:r>
    </w:p>
    <w:p>
      <w:pPr>
        <w:spacing w:after="120"/>
      </w:pPr>
      <w:r>
        <w:rPr>
          <w:b/>
          <w:bCs/>
        </w:rPr>
        <w:t xml:space="preserve">Closing note. </w:t>
      </w:r>
      <w:r>
        <w:rPr>
          <w:i/>
          <w:iCs/>
        </w:rPr>
        <w:t xml:space="preserve">For the deep-dive session, we want a working walkthrough on our CCR model wherever possible — not a slide deck. Where the answer to a question is "yes, but you need to do X" or "no, that is a workaround", please be direct. The objective is to determine which questions are answered today by Strategy as-shipped, which need workarounds, and which are gaps the vendor should consider for the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2026-05-26T20:18:24.203Z</dcterms:created>
  <dcterms:modified xsi:type="dcterms:W3CDTF">2026-05-26T20:18:24.219Z</dcterms:modified>
</cp:coreProperties>
</file>

<file path=docProps/custom.xml><?xml version="1.0" encoding="utf-8"?>
<Properties xmlns="http://schemas.openxmlformats.org/officeDocument/2006/custom-properties" xmlns:vt="http://schemas.openxmlformats.org/officeDocument/2006/docPropsVTypes"/>
</file>