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76B2C"/>
          <w:sz w:val="40"/>
          <w:szCs w:val="40"/>
        </w:rPr>
        <w:t xml:space="preserve">Data Modeling for Risk</w:t>
      </w:r>
    </w:p>
    <w:p>
      <w:pPr>
        <w:spacing w:after="280"/>
        <w:jc w:val="center"/>
      </w:pPr>
      <w:r>
        <w:rPr>
          <w:i/>
          <w:iCs/>
          <w:color w:val="595959"/>
          <w:sz w:val="22"/>
          <w:szCs w:val="22"/>
        </w:rPr>
        <w:t xml:space="preserve">A practical guide — from application reports to conformed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Modeling isn't a textbook discipline. It's about giving names and structure to data you already have. If your application produces reports today, you're closer than you think.</w:t>
            </w:r>
          </w:p>
        </w:tc>
      </w:tr>
    </w:tbl>
    <w:p>
      <w:pPr>
        <w:spacing w:after="200"/>
      </w:pPr>
      <w:r>
        <w:t xml:space="preserve"> </w:t>
      </w:r>
    </w:p>
    <w:p>
      <w:pPr>
        <w:spacing w:after="100" w:before="100"/>
      </w:pPr>
      <w:r>
        <w:rPr>
          <w:rFonts w:ascii="Calibri" w:cs="Calibri" w:eastAsia="Calibri" w:hAnsi="Calibri"/>
          <w:sz w:val="22"/>
          <w:szCs w:val="22"/>
        </w:rPr>
        <w:t xml:space="preserve">This page walks through the journey from where most risk applications are today — producing flat reports — to where the wider risk data layer is heading: a Risk Domain Model built on conformed entities, with trustworthy data products on top. We use collateral as the anchor example throughout because it's something the team already knows.</w:t>
      </w:r>
    </w:p>
    <w:p>
      <w:pPr>
        <w:spacing w:after="100" w:before="100"/>
      </w:pPr>
      <w:r>
        <w:rPr>
          <w:rFonts w:ascii="Calibri" w:cs="Calibri" w:eastAsia="Calibri" w:hAnsi="Calibri"/>
          <w:i/>
          <w:iCs/>
          <w:color w:val="595959"/>
          <w:sz w:val="22"/>
          <w:szCs w:val="22"/>
        </w:rPr>
        <w:t xml:space="preserve">The companion deck (Data Modeling for Risk.pptx, ten slides) carries the visuals. This page narrates each section with links to where the topic continues elsewhere in Confluence.</w:t>
      </w:r>
    </w:p>
    <w:p>
      <w:pPr>
        <w:pStyle w:val="Heading1"/>
        <w:spacing w:after="180" w:before="360"/>
      </w:pPr>
      <w:r>
        <w:rPr>
          <w:b/>
          <w:bCs/>
          <w:color w:val="176B2C"/>
          <w:sz w:val="32"/>
          <w:szCs w:val="32"/>
        </w:rPr>
        <w:t xml:space="preserve">Where you are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2 — Where you are today ]</w:t>
            </w:r>
          </w:p>
        </w:tc>
      </w:tr>
    </w:tbl>
    <w:p>
      <w:pPr>
        <w:spacing w:after="100" w:before="100"/>
      </w:pPr>
      <w:r>
        <w:rPr>
          <w:rFonts w:ascii="Calibri" w:cs="Calibri" w:eastAsia="Calibri" w:hAnsi="Calibri"/>
          <w:sz w:val="22"/>
          <w:szCs w:val="22"/>
        </w:rPr>
        <w:t xml:space="preserve">Take collateral. Today CMOS produces four reports: Collateral Position, Collateral Exposure, Settlements, and Disputes. These are distributed downstream to Credit Ops, Risk Reporting, and Treasury; upstream to the limits engine and counterparty review; and into regulatory feeds for CCR, BCBS, and LCR. People rely on them. They drive real decisions.</w:t>
      </w:r>
    </w:p>
    <w:p>
      <w:pPr>
        <w:spacing w:after="100" w:before="100"/>
      </w:pPr>
      <w:r>
        <w:rPr>
          <w:rFonts w:ascii="Calibri" w:cs="Calibri" w:eastAsia="Calibri" w:hAnsi="Calibri"/>
          <w:sz w:val="22"/>
          <w:szCs w:val="22"/>
        </w:rPr>
        <w:t xml:space="preserve">These are reports, not data products. The path to making them products — formalising metadata, contracts, SLAs, declared semantics — is described separately on the 'From Risk Reports to Governed Data Products' page. This page focuses on something different: the modeling work that has to happen for those products to be useful when joined across applications.</w:t>
      </w:r>
    </w:p>
    <w:p>
      <w:pPr>
        <w:spacing w:after="100" w:before="100"/>
      </w:pPr>
      <w:r>
        <w:rPr>
          <w:rFonts w:ascii="Calibri" w:cs="Calibri" w:eastAsia="Calibri" w:hAnsi="Calibri"/>
          <w:sz w:val="22"/>
          <w:szCs w:val="22"/>
        </w:rPr>
        <w:t xml:space="preserve">The data exists. It's just not modeled yet. That's the gap this page closes.</w:t>
      </w:r>
    </w:p>
    <w:p>
      <w:pPr>
        <w:pStyle w:val="Heading1"/>
        <w:spacing w:after="180" w:before="360"/>
      </w:pPr>
      <w:r>
        <w:rPr>
          <w:b/>
          <w:bCs/>
          <w:color w:val="176B2C"/>
          <w:sz w:val="32"/>
          <w:szCs w:val="32"/>
        </w:rPr>
        <w:t xml:space="preserve">Where we're heading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3 — Where we're heading ]</w:t>
            </w:r>
          </w:p>
        </w:tc>
      </w:tr>
    </w:tbl>
    <w:p>
      <w:pPr>
        <w:spacing w:after="100" w:before="100"/>
      </w:pPr>
      <w:r>
        <w:rPr>
          <w:rFonts w:ascii="Calibri" w:cs="Calibri" w:eastAsia="Calibri" w:hAnsi="Calibri"/>
          <w:sz w:val="22"/>
          <w:szCs w:val="22"/>
        </w:rPr>
        <w:t xml:space="preserve">Three layers describe the journey:</w:t>
      </w:r>
    </w:p>
    <w:p>
      <w:pPr>
        <w:pStyle w:val="ListParagraph"/>
        <w:numPr>
          <w:ilvl w:val="0"/>
          <w:numId w:val="2"/>
        </w:numPr>
        <w:spacing w:after="50" w:before="50"/>
      </w:pPr>
      <w:r>
        <w:rPr>
          <w:sz w:val="22"/>
          <w:szCs w:val="22"/>
        </w:rPr>
        <w:t xml:space="preserve">App level — flat reports, each app naming entities its own way. CMOS's counterparty isn't (yet) the same thing as ALFA's. FX comes from MIDAS in CMOS, LAMP in ALFA. This is where most apps are today.</w:t>
      </w:r>
    </w:p>
    <w:p>
      <w:pPr>
        <w:pStyle w:val="ListParagraph"/>
        <w:numPr>
          <w:ilvl w:val="0"/>
          <w:numId w:val="2"/>
        </w:numPr>
        <w:spacing w:after="50" w:before="50"/>
      </w:pPr>
      <w:r>
        <w:rPr>
          <w:sz w:val="22"/>
          <w:szCs w:val="22"/>
        </w:rPr>
        <w:t xml:space="preserve">Conformed layer — where modeling happens. Entities identified across apps and resolved into one shared form. CMOS's counterparty and ALFA's counterparty become a single conformed Counterparty. FX standardized to a single risk-wide source. Asset class/type taxonomy reconciled with documented mapping rules in the entity definition.</w:t>
      </w:r>
    </w:p>
    <w:p>
      <w:pPr>
        <w:pStyle w:val="ListParagraph"/>
        <w:numPr>
          <w:ilvl w:val="0"/>
          <w:numId w:val="2"/>
        </w:numPr>
        <w:spacing w:after="50" w:before="50"/>
      </w:pPr>
      <w:r>
        <w:rPr>
          <w:sz w:val="22"/>
          <w:szCs w:val="22"/>
        </w:rPr>
        <w:t xml:space="preserve">Risk Domain Model + Governed Data Products — the target. A connected model of risk entities with documented relationships (the ERD). Foundational and derived data products built on conformed entities. Cross-product joins reconcile cleanly. This is Risk's contribution to the enterprise CDM, Domain #5 — Derived Data and Metrics.</w:t>
      </w:r>
    </w:p>
    <w:p>
      <w:pPr>
        <w:spacing w:after="100" w:before="100"/>
      </w:pPr>
      <w:r>
        <w:rPr>
          <w:rFonts w:ascii="Calibri" w:cs="Calibri" w:eastAsia="Calibri" w:hAnsi="Calibri"/>
          <w:i/>
          <w:iCs/>
          <w:color w:val="595959"/>
          <w:sz w:val="22"/>
          <w:szCs w:val="22"/>
        </w:rPr>
        <w:t xml:space="preserve">The architecture details (Databricks landscape, the A→B→C resolution path from app to Product Group to Risk Domain, the three views of the same data) are covered on the Architecture &amp; Design page. This page is about the practical work of getting from the bottom layer to the middle layer.</w:t>
      </w:r>
    </w:p>
    <w:p>
      <w:pPr>
        <w:pStyle w:val="Heading1"/>
        <w:spacing w:after="180" w:before="360"/>
      </w:pPr>
      <w:r>
        <w:rPr>
          <w:b/>
          <w:bCs/>
          <w:color w:val="176B2C"/>
          <w:sz w:val="32"/>
          <w:szCs w:val="32"/>
        </w:rPr>
        <w:t xml:space="preserve">Step 1 — See the entities hiding in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4 — See the entities hiding in your data ]</w:t>
            </w:r>
          </w:p>
        </w:tc>
      </w:tr>
    </w:tbl>
    <w:p>
      <w:pPr>
        <w:spacing w:after="100" w:before="100"/>
      </w:pPr>
      <w:r>
        <w:rPr>
          <w:rFonts w:ascii="Calibri" w:cs="Calibri" w:eastAsia="Calibri" w:hAnsi="Calibri"/>
          <w:sz w:val="22"/>
          <w:szCs w:val="22"/>
        </w:rPr>
        <w:t xml:space="preserve">A flat row looks like a single record. It's actually several entities and a measurement bundled together.</w:t>
      </w:r>
    </w:p>
    <w:p>
      <w:pPr>
        <w:spacing w:after="100" w:before="100"/>
      </w:pPr>
      <w:r>
        <w:rPr>
          <w:rFonts w:ascii="Calibri" w:cs="Calibri" w:eastAsia="Calibri" w:hAnsi="Calibri"/>
          <w:sz w:val="22"/>
          <w:szCs w:val="22"/>
        </w:rPr>
        <w:t xml:space="preserve">Take one row from CMOS's Collateral Exposure report. Its columns are: counterparty_id, csa_id, asset_class, asset_type, currency, exposure_amount, pledged_amount. Looking at these columns one at a time:</w:t>
      </w:r>
    </w:p>
    <w:p>
      <w:pPr>
        <w:pStyle w:val="ListParagraph"/>
        <w:numPr>
          <w:ilvl w:val="0"/>
          <w:numId w:val="2"/>
        </w:numPr>
        <w:spacing w:after="50" w:before="50"/>
      </w:pPr>
      <w:r>
        <w:rPr>
          <w:sz w:val="22"/>
          <w:szCs w:val="22"/>
        </w:rPr>
        <w:t xml:space="preserve">counterparty_id is hiding a Counterparty entity</w:t>
      </w:r>
    </w:p>
    <w:p>
      <w:pPr>
        <w:pStyle w:val="ListParagraph"/>
        <w:numPr>
          <w:ilvl w:val="0"/>
          <w:numId w:val="2"/>
        </w:numPr>
        <w:spacing w:after="50" w:before="50"/>
      </w:pPr>
      <w:r>
        <w:rPr>
          <w:sz w:val="22"/>
          <w:szCs w:val="22"/>
        </w:rPr>
        <w:t xml:space="preserve">csa_id is hiding a CSA entity (which has a relationship back to Counterparty)</w:t>
      </w:r>
    </w:p>
    <w:p>
      <w:pPr>
        <w:pStyle w:val="ListParagraph"/>
        <w:numPr>
          <w:ilvl w:val="0"/>
          <w:numId w:val="2"/>
        </w:numPr>
        <w:spacing w:after="50" w:before="50"/>
      </w:pPr>
      <w:r>
        <w:rPr>
          <w:sz w:val="22"/>
          <w:szCs w:val="22"/>
        </w:rPr>
        <w:t xml:space="preserve">asset_class and asset_type aren't entities — they're properties of an Asset entity. The entity is Asset; class and type describe it.</w:t>
      </w:r>
    </w:p>
    <w:p>
      <w:pPr>
        <w:pStyle w:val="ListParagraph"/>
        <w:numPr>
          <w:ilvl w:val="0"/>
          <w:numId w:val="2"/>
        </w:numPr>
        <w:spacing w:after="50" w:before="50"/>
      </w:pPr>
      <w:r>
        <w:rPr>
          <w:sz w:val="22"/>
          <w:szCs w:val="22"/>
        </w:rPr>
        <w:t xml:space="preserve">currency is reference data — an entity in its own right, but one whose values come from a standard (ISO codes)</w:t>
      </w:r>
    </w:p>
    <w:p>
      <w:pPr>
        <w:pStyle w:val="ListParagraph"/>
        <w:numPr>
          <w:ilvl w:val="0"/>
          <w:numId w:val="2"/>
        </w:numPr>
        <w:spacing w:after="50" w:before="50"/>
      </w:pPr>
      <w:r>
        <w:rPr>
          <w:sz w:val="22"/>
          <w:szCs w:val="22"/>
        </w:rPr>
        <w:t xml:space="preserve">exposure_amount and pledged_amount aren't dimensions. They're measures. They belong on a fact, not on an entity.</w:t>
      </w:r>
    </w:p>
    <w:p>
      <w:pPr>
        <w:spacing w:after="100" w:before="100"/>
      </w:pPr>
      <w:r>
        <w:rPr>
          <w:rFonts w:ascii="Calibri" w:cs="Calibri" w:eastAsia="Calibri" w:hAnsi="Calibri"/>
          <w:sz w:val="22"/>
          <w:szCs w:val="22"/>
        </w:rPr>
        <w:t xml:space="preserve">The exercise: look at every column in your generated data and ask whether it's a real-world thing, a property of one, a reference code, or a measurement. Identifiers name entities. Categorizations describe entities. Standard codes reference entities. Numbers being measured are measures, not dimensions.</w:t>
      </w:r>
    </w:p>
    <w:p>
      <w:pPr>
        <w:pStyle w:val="Heading1"/>
        <w:spacing w:after="180" w:before="360"/>
      </w:pPr>
      <w:r>
        <w:rPr>
          <w:b/>
          <w:bCs/>
          <w:color w:val="176B2C"/>
          <w:sz w:val="32"/>
          <w:szCs w:val="32"/>
        </w:rPr>
        <w:t xml:space="preserve">Step 2 — Sketch your application's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5 — Sketch your application's model ]</w:t>
            </w:r>
          </w:p>
        </w:tc>
      </w:tr>
    </w:tbl>
    <w:p>
      <w:pPr>
        <w:spacing w:after="100" w:before="100"/>
      </w:pPr>
      <w:r>
        <w:rPr>
          <w:rFonts w:ascii="Calibri" w:cs="Calibri" w:eastAsia="Calibri" w:hAnsi="Calibri"/>
          <w:sz w:val="22"/>
          <w:szCs w:val="22"/>
        </w:rPr>
        <w:t xml:space="preserve">Once you've named the entities, draw the relationships between them. Boxes for entities, lines for relationships. Mark which attributes are primary keys (PK) and which are foreign keys (FK) referencing other entities.</w:t>
      </w:r>
    </w:p>
    <w:p>
      <w:pPr>
        <w:spacing w:after="100" w:before="100"/>
      </w:pPr>
      <w:r>
        <w:rPr>
          <w:rFonts w:ascii="Calibri" w:cs="Calibri" w:eastAsia="Calibri" w:hAnsi="Calibri"/>
          <w:sz w:val="22"/>
          <w:szCs w:val="22"/>
        </w:rPr>
        <w:t xml:space="preserve">For CMOS, the app-level ERD has Counterparty, CSA (with an FK to Counterparty), Asset, and Currency as the entities, with a Collateral Exposure fact at the center. The fact carries foreign keys to all four entities and the two measures (exposure_amount, pledged_amount) at its declared grain (counterparty + CSA + asset + currency + business_date).</w:t>
      </w:r>
    </w:p>
    <w:p>
      <w:pPr>
        <w:spacing w:after="100" w:before="100"/>
      </w:pPr>
      <w:r>
        <w:rPr>
          <w:rFonts w:ascii="Calibri" w:cs="Calibri" w:eastAsia="Calibri" w:hAnsi="Calibri"/>
          <w:sz w:val="22"/>
          <w:szCs w:val="22"/>
        </w:rPr>
        <w:t xml:space="preserve">This is the 'App data footprint' level in the Artifact Types table on the Architecture &amp; Design page. Every application in risk does this exercise for its own data — XVALA, TCC, REGDS, ALFA, and so on each has its own app-level model.</w:t>
      </w:r>
    </w:p>
    <w:p>
      <w:pPr>
        <w:spacing w:after="100" w:before="100"/>
      </w:pPr>
      <w:r>
        <w:rPr>
          <w:rFonts w:ascii="Calibri" w:cs="Calibri" w:eastAsia="Calibri" w:hAnsi="Calibri"/>
          <w:i/>
          <w:iCs/>
          <w:color w:val="595959"/>
          <w:sz w:val="22"/>
          <w:szCs w:val="22"/>
        </w:rPr>
        <w:t xml:space="preserve">The point isn't to draw a perfect diagram. It's to make the entities and their relationships explicit, so anyone looking at the app's data knows what it represents.</w:t>
      </w:r>
    </w:p>
    <w:p>
      <w:pPr>
        <w:pStyle w:val="Heading1"/>
        <w:spacing w:after="180" w:before="360"/>
      </w:pPr>
      <w:r>
        <w:rPr>
          <w:b/>
          <w:bCs/>
          <w:color w:val="176B2C"/>
          <w:sz w:val="32"/>
          <w:szCs w:val="32"/>
        </w:rPr>
        <w:t xml:space="preserve">Step 3 — Classify your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6 — Classify your entities ]</w:t>
            </w:r>
          </w:p>
        </w:tc>
      </w:tr>
    </w:tbl>
    <w:p>
      <w:pPr>
        <w:spacing w:after="100" w:before="100"/>
      </w:pPr>
      <w:r>
        <w:rPr>
          <w:rFonts w:ascii="Calibri" w:cs="Calibri" w:eastAsia="Calibri" w:hAnsi="Calibri"/>
          <w:sz w:val="22"/>
          <w:szCs w:val="22"/>
        </w:rPr>
        <w:t xml:space="preserve">Once you have entities sketched, the next question is: where does each one belong? Not every entity is yours to own. Three categories tell you where they live and who maintains them:</w:t>
      </w:r>
    </w:p>
    <w:p>
      <w:pPr>
        <w:spacing w:after="100" w:before="100"/>
      </w:pPr>
      <w:r>
        <w:rPr>
          <w:rFonts w:ascii="Calibri" w:cs="Calibri" w:eastAsia="Calibri" w:hAnsi="Calibri"/>
          <w:b/>
          <w:bCs/>
          <w:color w:val="176B2C"/>
          <w:sz w:val="22"/>
          <w:szCs w:val="22"/>
        </w:rPr>
        <w:t xml:space="preserve">Enterprise reference data</w:t>
      </w:r>
    </w:p>
    <w:p>
      <w:pPr>
        <w:spacing w:after="100" w:before="100"/>
      </w:pPr>
      <w:r>
        <w:rPr>
          <w:rFonts w:ascii="Calibri" w:cs="Calibri" w:eastAsia="Calibri" w:hAnsi="Calibri"/>
          <w:sz w:val="22"/>
          <w:szCs w:val="22"/>
        </w:rPr>
        <w:t xml:space="preserve">Sourced from upstream, conformed bank-wide. Currency, Country, Counterparty Master (from the enterprise CRM), Calendar, ISO codes, LEI registry. You don't own these — you reference them. They live in the core.reference area. Your app uses them but doesn't change them.</w:t>
      </w:r>
    </w:p>
    <w:p>
      <w:pPr>
        <w:spacing w:after="100" w:before="100"/>
      </w:pPr>
      <w:r>
        <w:rPr>
          <w:rFonts w:ascii="Calibri" w:cs="Calibri" w:eastAsia="Calibri" w:hAnsi="Calibri"/>
          <w:b/>
          <w:bCs/>
          <w:color w:val="B46F18"/>
          <w:sz w:val="22"/>
          <w:szCs w:val="22"/>
        </w:rPr>
        <w:t xml:space="preserve">Risk-internal conformed entities</w:t>
      </w:r>
    </w:p>
    <w:p>
      <w:pPr>
        <w:spacing w:after="100" w:before="100"/>
      </w:pPr>
      <w:r>
        <w:rPr>
          <w:rFonts w:ascii="Calibri" w:cs="Calibri" w:eastAsia="Calibri" w:hAnsi="Calibri"/>
          <w:sz w:val="22"/>
          <w:szCs w:val="22"/>
        </w:rPr>
        <w:t xml:space="preserve">Risk owns, conformed across all risk apps. Counterparty enriched with risk-specific attributes, CSA/Netting Set, Asset taxonomy with risk's mapping rules, FX Rate as the canonical source for risk, Trade. These live in the core layer (riskwh.core). Built once, used by every risk application. This is where the real conformance work happens.</w:t>
      </w:r>
    </w:p>
    <w:p>
      <w:pPr>
        <w:spacing w:after="100" w:before="100"/>
      </w:pPr>
      <w:r>
        <w:rPr>
          <w:rFonts w:ascii="Calibri" w:cs="Calibri" w:eastAsia="Calibri" w:hAnsi="Calibri"/>
          <w:b/>
          <w:bCs/>
          <w:color w:val="882C1F"/>
          <w:sz w:val="22"/>
          <w:szCs w:val="22"/>
        </w:rPr>
        <w:t xml:space="preserve">App-specific entities</w:t>
      </w:r>
    </w:p>
    <w:p>
      <w:pPr>
        <w:spacing w:after="100" w:before="100"/>
      </w:pPr>
      <w:r>
        <w:rPr>
          <w:rFonts w:ascii="Calibri" w:cs="Calibri" w:eastAsia="Calibri" w:hAnsi="Calibri"/>
          <w:sz w:val="22"/>
          <w:szCs w:val="22"/>
        </w:rPr>
        <w:t xml:space="preserve">Stays in the malcode schema. App-internal codes, processing flags, audit and lineage structures, app-specific intermediate calculations. App team owns. Not shared with other apps. Lives in the producing app's schema (e.g. credit_risk.cmos).</w:t>
      </w:r>
    </w:p>
    <w:p>
      <w:pPr>
        <w:spacing w:after="100" w:before="100"/>
      </w:pPr>
      <w:r>
        <w:rPr>
          <w:rFonts w:ascii="Calibri" w:cs="Calibri" w:eastAsia="Calibri" w:hAnsi="Calibri"/>
          <w:sz w:val="22"/>
          <w:szCs w:val="22"/>
        </w:rPr>
        <w:t xml:space="preserve">Most apps have a mix of all three. That's normal. The classification exercise is what tells you which entities you can build foundational products against directly, and which ones need to be lifted into the conformed layer first.</w:t>
      </w:r>
    </w:p>
    <w:p>
      <w:pPr>
        <w:pStyle w:val="Heading1"/>
        <w:spacing w:after="180" w:before="360"/>
      </w:pPr>
      <w:r>
        <w:rPr>
          <w:b/>
          <w:bCs/>
          <w:color w:val="176B2C"/>
          <w:sz w:val="32"/>
          <w:szCs w:val="32"/>
        </w:rPr>
        <w:t xml:space="preserve">Step 4 — Conform across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7 — Conform across applications ]</w:t>
            </w:r>
          </w:p>
        </w:tc>
      </w:tr>
    </w:tbl>
    <w:p>
      <w:pPr>
        <w:spacing w:after="100" w:before="100"/>
      </w:pPr>
      <w:r>
        <w:rPr>
          <w:rFonts w:ascii="Calibri" w:cs="Calibri" w:eastAsia="Calibri" w:hAnsi="Calibri"/>
          <w:sz w:val="22"/>
          <w:szCs w:val="22"/>
        </w:rPr>
        <w:t xml:space="preserve">This is where it gets interesting. Two applications can each have a well-modeled view of the same business concept and still disagree on what it means. The conformance exercise is about resolving those disagreements in the conformed layer so cross-app joins are trustworthy.</w:t>
      </w:r>
    </w:p>
    <w:p>
      <w:pPr>
        <w:spacing w:after="100" w:before="100"/>
      </w:pPr>
      <w:r>
        <w:rPr>
          <w:rFonts w:ascii="Calibri" w:cs="Calibri" w:eastAsia="Calibri" w:hAnsi="Calibri"/>
          <w:sz w:val="22"/>
          <w:szCs w:val="22"/>
        </w:rPr>
        <w:t xml:space="preserve">Two concrete examples drawn from real situations across CMOS and ALFA:</w:t>
      </w:r>
    </w:p>
    <w:p>
      <w:pPr>
        <w:spacing w:after="100" w:before="100"/>
      </w:pPr>
      <w:r>
        <w:rPr>
          <w:rFonts w:ascii="Calibri" w:cs="Calibri" w:eastAsia="Calibri" w:hAnsi="Calibri"/>
          <w:b/>
          <w:bCs/>
          <w:color w:val="176B2C"/>
          <w:sz w:val="22"/>
          <w:szCs w:val="22"/>
        </w:rPr>
        <w:t xml:space="preserve">Example 1 — FX rates</w:t>
      </w:r>
    </w:p>
    <w:p>
      <w:pPr>
        <w:spacing w:after="100" w:before="100"/>
      </w:pPr>
      <w:r>
        <w:rPr>
          <w:rFonts w:ascii="Calibri" w:cs="Calibri" w:eastAsia="Calibri" w:hAnsi="Calibri"/>
          <w:sz w:val="22"/>
          <w:szCs w:val="22"/>
        </w:rPr>
        <w:t xml:space="preserve">CMOS uses MIDAS for FX conversion. ALFA uses LAMP. Both choices were made independently by the respective application teams, and both are reasonable for the application that made them. But when a consumer wants to combine collateral data from CMOS with liquidity data from ALFA — say, to calculate unencumbered liquidity — and both are converted to USD, the numbers don't reconcile. Not because either is wrong, but because they're using different reference frames.</w:t>
      </w:r>
    </w:p>
    <w:p>
      <w:pPr>
        <w:spacing w:after="100" w:before="100"/>
      </w:pPr>
      <w:r>
        <w:rPr>
          <w:rFonts w:ascii="Calibri" w:cs="Calibri" w:eastAsia="Calibri" w:hAnsi="Calibri"/>
          <w:sz w:val="22"/>
          <w:szCs w:val="22"/>
        </w:rPr>
        <w:t xml:space="preserve">The conformed solution is to define a single canonical FX source for risk in core.fx_rate. The conformed entity's definition documents which source is canonical (and why), how it's sourced, and what the fallback rules are. Once core.fx_rate exists, foundational products can be rebuilt to use it, derived products can apply it at join time, and the cross-app reconciliation problem goes away.</w:t>
      </w:r>
    </w:p>
    <w:p>
      <w:pPr>
        <w:spacing w:after="100" w:before="100"/>
      </w:pPr>
      <w:r>
        <w:rPr>
          <w:rFonts w:ascii="Calibri" w:cs="Calibri" w:eastAsia="Calibri" w:hAnsi="Calibri"/>
          <w:i/>
          <w:iCs/>
          <w:color w:val="595959"/>
          <w:sz w:val="22"/>
          <w:szCs w:val="22"/>
        </w:rPr>
        <w:t xml:space="preserve">Until core.fx_rate exists, foundational products carry their producer's FX source in the contract (declared, not hidden), and derived products reconcile explicitly. The Collateralized Funding View worked example shows what that looks like.</w:t>
      </w:r>
    </w:p>
    <w:p>
      <w:pPr>
        <w:spacing w:after="100" w:before="100"/>
      </w:pPr>
      <w:r>
        <w:rPr>
          <w:rFonts w:ascii="Calibri" w:cs="Calibri" w:eastAsia="Calibri" w:hAnsi="Calibri"/>
          <w:b/>
          <w:bCs/>
          <w:color w:val="176B2C"/>
          <w:sz w:val="22"/>
          <w:szCs w:val="22"/>
        </w:rPr>
        <w:t xml:space="preserve">Example 2 — Asset class and asset type</w:t>
      </w:r>
    </w:p>
    <w:p>
      <w:pPr>
        <w:spacing w:after="100" w:before="100"/>
      </w:pPr>
      <w:r>
        <w:rPr>
          <w:rFonts w:ascii="Calibri" w:cs="Calibri" w:eastAsia="Calibri" w:hAnsi="Calibri"/>
          <w:sz w:val="22"/>
          <w:szCs w:val="22"/>
        </w:rPr>
        <w:t xml:space="preserve">CMOS classifies assets one way. ALFA classifies them differently. The same instrument might be 'Corporate Bond — Investment Grade' in CMOS and 'Fixed Income — IG' in ALFA. Or 'Government' in one and 'Sovereign' in the other. Different granularity. Different naming. Different category boundaries.</w:t>
      </w:r>
    </w:p>
    <w:p>
      <w:pPr>
        <w:spacing w:after="100" w:before="100"/>
      </w:pPr>
      <w:r>
        <w:rPr>
          <w:rFonts w:ascii="Calibri" w:cs="Calibri" w:eastAsia="Calibri" w:hAnsi="Calibri"/>
          <w:sz w:val="22"/>
          <w:szCs w:val="22"/>
        </w:rPr>
        <w:t xml:space="preserve">When a consumer slices by asset class to compare exposures across the two apps, the comparison is meaningless because they're slicing two different taxonomies. The conformed solution is a single core.asset_type entity whose definition holds the mapping rules — how CMOS's native codes map to the conformed taxonomy, how ALFA's native codes map to the same conformed taxonomy. The mapping rules ARE the definition. Without them, the entity isn't really conformed.</w:t>
      </w:r>
    </w:p>
    <w:p>
      <w:pPr>
        <w:spacing w:after="200"/>
      </w:pPr>
      <w:r>
        <w:t xml:space="preserve"> </w:t>
      </w:r>
    </w:p>
    <w:p>
      <w:pPr>
        <w:spacing w:after="100" w:before="100"/>
      </w:pPr>
      <w:r>
        <w:rPr>
          <w:rFonts w:ascii="Calibri" w:cs="Calibri" w:eastAsia="Calibri" w:hAnsi="Calibri"/>
          <w:sz w:val="22"/>
          <w:szCs w:val="22"/>
        </w:rPr>
        <w:t xml:space="preserve">This is also why entity definitions matter as much as entity diagrams. A box on an ERD that says 'Asset Type' isn't conformed by virtue of being drawn. It's conformed when its definition documents the rules that make it so — which apps it draws from, which native codes map to which conformed values, who arbitrates disputes.</w:t>
      </w:r>
    </w:p>
    <w:p>
      <w:pPr>
        <w:pStyle w:val="Heading1"/>
        <w:spacing w:after="180" w:before="360"/>
      </w:pPr>
      <w:r>
        <w:rPr>
          <w:b/>
          <w:bCs/>
          <w:color w:val="176B2C"/>
          <w:sz w:val="32"/>
          <w:szCs w:val="32"/>
        </w:rPr>
        <w:t xml:space="preserve">Why relationships matter (not just entities)</w:t>
      </w:r>
    </w:p>
    <w:p>
      <w:pPr>
        <w:spacing w:after="100" w:before="100"/>
      </w:pPr>
      <w:r>
        <w:rPr>
          <w:rFonts w:ascii="Calibri" w:cs="Calibri" w:eastAsia="Calibri" w:hAnsi="Calibri"/>
          <w:sz w:val="22"/>
          <w:szCs w:val="22"/>
        </w:rPr>
        <w:t xml:space="preserve">A list of entities without relationships isn't a model. It's a glossary. The lines between the boxes are what turn a list into a model.</w:t>
      </w:r>
    </w:p>
    <w:p>
      <w:pPr>
        <w:spacing w:after="100" w:before="100"/>
      </w:pPr>
      <w:r>
        <w:rPr>
          <w:rFonts w:ascii="Calibri" w:cs="Calibri" w:eastAsia="Calibri" w:hAnsi="Calibri"/>
          <w:sz w:val="22"/>
          <w:szCs w:val="22"/>
        </w:rPr>
        <w:t xml:space="preserve">Relationships document things like: a Counterparty has many CSAs. A CSA references exactly one Counterparty. A Collateral Exposure record is at the level of one Counterparty × one CSA × one Asset × one Currency × one business date. An Asset has exactly one Asset Type at any given point in time.</w:t>
      </w:r>
    </w:p>
    <w:p>
      <w:pPr>
        <w:spacing w:after="100" w:before="100"/>
      </w:pPr>
      <w:r>
        <w:rPr>
          <w:rFonts w:ascii="Calibri" w:cs="Calibri" w:eastAsia="Calibri" w:hAnsi="Calibri"/>
          <w:sz w:val="22"/>
          <w:szCs w:val="22"/>
        </w:rPr>
        <w:t xml:space="preserve">These statements aren't optional decoration. They define what queries are safe (a join from Exposure to Counterparty using counterparty_id is unambiguous because of the FK), what aggregations make sense (summing Exposures by Counterparty works because Counterparty is one level up), and what joins will produce wrong answers (joining two Exposure records by Asset Type loses the fact that Asset Type was different in CMOS and ALFA before conformance).</w:t>
      </w:r>
    </w:p>
    <w:p>
      <w:pPr>
        <w:spacing w:after="100" w:before="100"/>
      </w:pPr>
      <w:r>
        <w:rPr>
          <w:rFonts w:ascii="Calibri" w:cs="Calibri" w:eastAsia="Calibri" w:hAnsi="Calibri"/>
          <w:i/>
          <w:iCs/>
          <w:color w:val="595959"/>
          <w:sz w:val="22"/>
          <w:szCs w:val="22"/>
        </w:rPr>
        <w:t xml:space="preserve">When you draw your application's ERD, draw the lines. Label them if you can. The lines are the model.</w:t>
      </w:r>
    </w:p>
    <w:p>
      <w:pPr>
        <w:pStyle w:val="Heading1"/>
        <w:spacing w:after="180" w:before="360"/>
      </w:pPr>
      <w:r>
        <w:rPr>
          <w:b/>
          <w:bCs/>
          <w:color w:val="176B2C"/>
          <w:sz w:val="32"/>
          <w:szCs w:val="32"/>
        </w:rPr>
        <w:t xml:space="preserve">Two representations of the same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8 — Two representations ]</w:t>
            </w:r>
          </w:p>
        </w:tc>
      </w:tr>
    </w:tbl>
    <w:p>
      <w:pPr>
        <w:spacing w:after="100" w:before="100"/>
      </w:pPr>
      <w:r>
        <w:rPr>
          <w:rFonts w:ascii="Calibri" w:cs="Calibri" w:eastAsia="Calibri" w:hAnsi="Calibri"/>
          <w:sz w:val="22"/>
          <w:szCs w:val="22"/>
        </w:rPr>
        <w:t xml:space="preserve">Once a model exists, it has two faces. Both describe the same underlying logical model — they just render it for different audiences.</w:t>
      </w:r>
    </w:p>
    <w:p>
      <w:pPr>
        <w:spacing w:after="100" w:before="100"/>
      </w:pPr>
      <w:r>
        <w:rPr>
          <w:rFonts w:ascii="Calibri" w:cs="Calibri" w:eastAsia="Calibri" w:hAnsi="Calibri"/>
          <w:b/>
          <w:bCs/>
          <w:color w:val="176B2C"/>
          <w:sz w:val="22"/>
          <w:szCs w:val="22"/>
        </w:rPr>
        <w:t xml:space="preserve">Visual ERD</w:t>
      </w:r>
    </w:p>
    <w:p>
      <w:pPr>
        <w:spacing w:after="100" w:before="100"/>
      </w:pPr>
      <w:r>
        <w:rPr>
          <w:rFonts w:ascii="Calibri" w:cs="Calibri" w:eastAsia="Calibri" w:hAnsi="Calibri"/>
          <w:sz w:val="22"/>
          <w:szCs w:val="22"/>
        </w:rPr>
        <w:t xml:space="preserve">Entities as boxes, relationships as lines. PK and FK markers. Documented in Collibra and in modeling tools like erwin or PowerDesigner. The audience is business analysts, stewards, and architects — people who need to understand the shape of the model without writing SQL.</w:t>
      </w:r>
    </w:p>
    <w:p>
      <w:pPr>
        <w:spacing w:after="100" w:before="100"/>
      </w:pPr>
      <w:r>
        <w:rPr>
          <w:rFonts w:ascii="Calibri" w:cs="Calibri" w:eastAsia="Calibri" w:hAnsi="Calibri"/>
          <w:b/>
          <w:bCs/>
          <w:color w:val="176B2C"/>
          <w:sz w:val="22"/>
          <w:szCs w:val="22"/>
        </w:rPr>
        <w:t xml:space="preserve">Technical DDL</w:t>
      </w:r>
    </w:p>
    <w:p>
      <w:pPr>
        <w:spacing w:after="100" w:before="100"/>
      </w:pPr>
      <w:r>
        <w:rPr>
          <w:rFonts w:ascii="Calibri" w:cs="Calibri" w:eastAsia="Calibri" w:hAnsi="Calibri"/>
          <w:sz w:val="22"/>
          <w:szCs w:val="22"/>
        </w:rPr>
        <w:t xml:space="preserve">CREATE TABLE statements with PRIMARY KEY, FOREIGN KEY, CHECK constraints, NOT NULL. Lives in Unity Catalog as the physical schema definition. The audience is engineers, analysts writing SQL, and the platform itself (which uses the constraints for optimization and for catalog navigation).</w:t>
      </w:r>
    </w:p>
    <w:p>
      <w:pPr>
        <w:spacing w:after="100" w:before="100"/>
      </w:pPr>
      <w:r>
        <w:rPr>
          <w:rFonts w:ascii="Calibri" w:cs="Calibri" w:eastAsia="Calibri" w:hAnsi="Calibri"/>
          <w:sz w:val="22"/>
          <w:szCs w:val="22"/>
        </w:rPr>
        <w:t xml:space="preserve">Both faces stay in sync because they come from the same source — the contract YAML plus the modeling tool. Change the logical model and both projections regenerate.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9 — Erwin / PowerDesigner placeholder (screenshot to be added) ]</w:t>
            </w:r>
          </w:p>
        </w:tc>
      </w:tr>
    </w:tbl>
    <w:p>
      <w:pPr>
        <w:spacing w:after="100" w:before="100"/>
      </w:pPr>
      <w:r>
        <w:rPr>
          <w:rFonts w:ascii="Calibri" w:cs="Calibri" w:eastAsia="Calibri" w:hAnsi="Calibri"/>
          <w:sz w:val="22"/>
          <w:szCs w:val="22"/>
        </w:rPr>
        <w:t xml:space="preserve">The ERD sketch on slide 5 is the loose, modeling-by-hand version. The Erwin/PowerDesigner screenshot is the same model formally documented. Both describe the same entities and relationships; the second is just the cataloged, governed version.</w:t>
      </w:r>
    </w:p>
    <w:p>
      <w:pPr>
        <w:pStyle w:val="Heading1"/>
        <w:spacing w:after="180" w:before="360"/>
      </w:pPr>
      <w:r>
        <w:rPr>
          <w:b/>
          <w:bCs/>
          <w:color w:val="176B2C"/>
          <w:sz w:val="32"/>
          <w:szCs w:val="32"/>
        </w:rPr>
        <w:t xml:space="preserve">Where this leads — back to data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8B47" w:sz="4"/>
              <w:left w:val="dashed" w:color="2E8B47" w:sz="4"/>
              <w:bottom w:val="dashed" w:color="2E8B47" w:sz="4"/>
              <w:right w:val="dashed" w:color="2E8B47" w:sz="4"/>
            </w:tcBorders>
            <w:shd w:fill="E5F0DD" w:color="auto" w:val="clear"/>
            <w:tcMar>
              <w:top w:type="dxa" w:w="140"/>
              <w:left w:type="dxa" w:w="200"/>
              <w:bottom w:type="dxa" w:w="140"/>
              <w:right w:type="dxa" w:w="200"/>
            </w:tcMar>
          </w:tcPr>
          <w:p>
            <w:pPr>
              <w:jc w:val="center"/>
            </w:pPr>
            <w:r>
              <w:rPr>
                <w:b/>
                <w:bCs/>
                <w:i/>
                <w:iCs/>
                <w:color w:val="176B2C"/>
                <w:sz w:val="22"/>
                <w:szCs w:val="22"/>
              </w:rPr>
              <w:t xml:space="preserve">[ IMAGE: Slide 10 — Where this leads — back to data products ]</w:t>
            </w:r>
          </w:p>
        </w:tc>
      </w:tr>
    </w:tbl>
    <w:p>
      <w:pPr>
        <w:spacing w:after="100" w:before="100"/>
      </w:pPr>
      <w:r>
        <w:rPr>
          <w:rFonts w:ascii="Calibri" w:cs="Calibri" w:eastAsia="Calibri" w:hAnsi="Calibri"/>
          <w:sz w:val="22"/>
          <w:szCs w:val="22"/>
        </w:rPr>
        <w:t xml:space="preserve">Modeling work isn't an end in itself. It's the foundation for the data products that the rest of the bank consumes.</w:t>
      </w:r>
    </w:p>
    <w:p>
      <w:pPr>
        <w:spacing w:after="100" w:before="100"/>
      </w:pPr>
      <w:r>
        <w:rPr>
          <w:rFonts w:ascii="Calibri" w:cs="Calibri" w:eastAsia="Calibri" w:hAnsi="Calibri"/>
          <w:sz w:val="22"/>
          <w:szCs w:val="22"/>
        </w:rPr>
        <w:t xml:space="preserve">With application data alone — no conformance — foundational products are useful for single-app analysis. Cross-app joins are unreliable because the entities don't compose. With conformed entities, foundational products can reference the conformed FX, the conformed asset taxonomy, the conformed counterparty. Derived products (cross-app views like Collateralized Funding) reconcile cleanly because the upstream divergences are resolved in the conformed layer.</w:t>
      </w:r>
    </w:p>
    <w:p>
      <w:pPr>
        <w:spacing w:after="100" w:before="100"/>
      </w:pPr>
      <w:r>
        <w:rPr>
          <w:rFonts w:ascii="Calibri" w:cs="Calibri" w:eastAsia="Calibri" w:hAnsi="Calibri"/>
          <w:sz w:val="22"/>
          <w:szCs w:val="22"/>
        </w:rPr>
        <w:t xml:space="preserve">And once you have trustworthy data products on conformed entities, star schemas and BI follow naturally. The data is already shaped close to a dimensional model — measures by dimensions. The modeling work is what unlocks it as a dimensional model that actually works.</w:t>
      </w:r>
    </w:p>
    <w:p>
      <w:pPr>
        <w:spacing w:after="100" w:before="100"/>
      </w:pPr>
      <w:r>
        <w:rPr>
          <w:rFonts w:ascii="Calibri" w:cs="Calibri" w:eastAsia="Calibri" w:hAnsi="Calibri"/>
          <w:i/>
          <w:iCs/>
          <w:color w:val="595959"/>
          <w:sz w:val="22"/>
          <w:szCs w:val="22"/>
        </w:rPr>
        <w:t xml:space="preserve">You're closer than you think. Most of what you need is already in your data. The job is to give it structure.</w:t>
      </w:r>
    </w:p>
    <w:p>
      <w:pPr>
        <w:spacing w:after="200"/>
      </w:pPr>
      <w:r>
        <w:t xml:space="preserve"> </w:t>
      </w:r>
    </w:p>
    <w:p>
      <w:pPr>
        <w:spacing w:after="100" w:before="100"/>
      </w:pPr>
      <w:r>
        <w:rPr>
          <w:rFonts w:ascii="Calibri" w:cs="Calibri" w:eastAsia="Calibri" w:hAnsi="Calibri"/>
          <w:b/>
          <w:bCs/>
          <w:color w:val="176B2C"/>
          <w:sz w:val="24"/>
          <w:szCs w:val="24"/>
        </w:rPr>
        <w:t xml:space="preserve">Where to go from here</w:t>
      </w:r>
    </w:p>
    <w:p>
      <w:pPr>
        <w:pStyle w:val="ListParagraph"/>
        <w:numPr>
          <w:ilvl w:val="0"/>
          <w:numId w:val="2"/>
        </w:numPr>
        <w:spacing w:after="50" w:before="50"/>
      </w:pPr>
      <w:r>
        <w:rPr>
          <w:sz w:val="22"/>
          <w:szCs w:val="22"/>
        </w:rPr>
        <w:t xml:space="preserve">Architecture &amp; Design — the A→B→C resolution path and three views of the data</w:t>
      </w:r>
    </w:p>
    <w:p>
      <w:pPr>
        <w:pStyle w:val="ListParagraph"/>
        <w:numPr>
          <w:ilvl w:val="0"/>
          <w:numId w:val="2"/>
        </w:numPr>
        <w:spacing w:after="50" w:before="50"/>
      </w:pPr>
      <w:r>
        <w:rPr>
          <w:sz w:val="22"/>
          <w:szCs w:val="22"/>
        </w:rPr>
        <w:t xml:space="preserve">Worked Example — Counterparty 360 — how a real product is built on these foundations</w:t>
      </w:r>
    </w:p>
    <w:p>
      <w:pPr>
        <w:pStyle w:val="ListParagraph"/>
        <w:numPr>
          <w:ilvl w:val="0"/>
          <w:numId w:val="2"/>
        </w:numPr>
        <w:spacing w:after="50" w:before="50"/>
      </w:pPr>
      <w:r>
        <w:rPr>
          <w:sz w:val="22"/>
          <w:szCs w:val="22"/>
        </w:rPr>
        <w:t xml:space="preserve">Risk Marketplace landing — how products are discovered and consumed once built</w:t>
      </w:r>
    </w:p>
    <w:p>
      <w:pPr>
        <w:pStyle w:val="ListParagraph"/>
        <w:numPr>
          <w:ilvl w:val="0"/>
          <w:numId w:val="2"/>
        </w:numPr>
        <w:spacing w:after="50" w:before="50"/>
      </w:pPr>
      <w:r>
        <w:rPr>
          <w:sz w:val="22"/>
          <w:szCs w:val="22"/>
        </w:rPr>
        <w:t xml:space="preserve">From Risk Reports to Governed Data Products — how existing reports get promoted into the journey</w:t>
      </w:r>
    </w:p>
    <w:p>
      <w:pPr>
        <w:pStyle w:val="ListParagraph"/>
        <w:numPr>
          <w:ilvl w:val="0"/>
          <w:numId w:val="2"/>
        </w:numPr>
        <w:spacing w:after="50" w:before="50"/>
      </w:pPr>
      <w:r>
        <w:rPr>
          <w:sz w:val="22"/>
          <w:szCs w:val="22"/>
        </w:rPr>
        <w:t xml:space="preserve">Standards &amp; Artifacts Library — onboarding form, data contract template, UC tag standards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76B2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76B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2026-05-14T16:09:28.091Z</dcterms:created>
  <dcterms:modified xsi:type="dcterms:W3CDTF">2026-05-14T16:09:28.105Z</dcterms:modified>
</cp:coreProperties>
</file>

<file path=docProps/custom.xml><?xml version="1.0" encoding="utf-8"?>
<Properties xmlns="http://schemas.openxmlformats.org/officeDocument/2006/custom-properties" xmlns:vt="http://schemas.openxmlformats.org/officeDocument/2006/docPropsVTypes"/>
</file>