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76B2C"/>
          <w:sz w:val="40"/>
          <w:szCs w:val="40"/>
        </w:rPr>
        <w:t xml:space="preserve">Data Modeling for Risk</w:t>
      </w:r>
    </w:p>
    <w:p>
      <w:pPr>
        <w:spacing w:after="280"/>
        <w:jc w:val="center"/>
      </w:pPr>
      <w:r>
        <w:rPr>
          <w:i/>
          <w:iCs/>
          <w:color w:val="595959"/>
          <w:sz w:val="22"/>
          <w:szCs w:val="22"/>
        </w:rPr>
        <w:t xml:space="preserve">A practical guide — from application reports to conformed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Modeling isn't a textbook discipline. It's about giving names and structure to data you already have.</w:t>
            </w:r>
          </w:p>
        </w:tc>
      </w:tr>
    </w:tbl>
    <w:p>
      <w:pPr>
        <w:spacing w:after="100" w:before="100"/>
      </w:pPr>
      <w:r>
        <w:rPr>
          <w:rFonts w:ascii="Calibri" w:cs="Calibri" w:eastAsia="Calibri" w:hAnsi="Calibri"/>
          <w:sz w:val="22"/>
          <w:szCs w:val="22"/>
        </w:rPr>
        <w:t xml:space="preserve"/>
      </w:r>
    </w:p>
    <w:p>
      <w:pPr>
        <w:spacing w:after="100" w:before="100"/>
      </w:pPr>
      <w:r>
        <w:rPr>
          <w:rFonts w:ascii="Calibri" w:cs="Calibri" w:eastAsia="Calibri" w:hAnsi="Calibri"/>
          <w:sz w:val="22"/>
          <w:szCs w:val="22"/>
        </w:rPr>
        <w:t xml:space="preserve">This page walks through the journey from where most risk applications are today — producing flat reports — to where the wider risk data layer is heading: a Risk Domain Model built on conformed entities, with trustworthy data products on top. We use collateral as the anchor example.</w:t>
      </w:r>
    </w:p>
    <w:p>
      <w:pPr>
        <w:spacing w:after="100" w:before="100"/>
      </w:pPr>
      <w:r>
        <w:rPr>
          <w:rFonts w:ascii="Calibri" w:cs="Calibri" w:eastAsia="Calibri" w:hAnsi="Calibri"/>
          <w:i/>
          <w:iCs/>
          <w:color w:val="595959"/>
          <w:sz w:val="22"/>
          <w:szCs w:val="22"/>
        </w:rPr>
        <w:t xml:space="preserve">v2 changes: two new sections added (How the contract gets built, From query-based to model-based). Semantic-layer wording updated throughout to clarify that the semantic layer is a concept; current implementation direction is Databricks Metric Views.</w:t>
      </w:r>
    </w:p>
    <w:p>
      <w:pPr>
        <w:pStyle w:val="Heading1"/>
        <w:spacing w:after="180" w:before="360"/>
      </w:pPr>
      <w:r>
        <w:rPr>
          <w:b/>
          <w:bCs/>
          <w:color w:val="176B2C"/>
          <w:sz w:val="32"/>
          <w:szCs w:val="32"/>
        </w:rPr>
        <w:t xml:space="preserve">Where you are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2 — Where you are today ]</w:t>
            </w:r>
          </w:p>
        </w:tc>
      </w:tr>
    </w:tbl>
    <w:p>
      <w:pPr>
        <w:spacing w:after="100" w:before="100"/>
      </w:pPr>
      <w:r>
        <w:rPr>
          <w:rFonts w:ascii="Calibri" w:cs="Calibri" w:eastAsia="Calibri" w:hAnsi="Calibri"/>
          <w:sz w:val="22"/>
          <w:szCs w:val="22"/>
        </w:rPr>
        <w:t xml:space="preserve">Take collateral. Today CMOS produces four reports: Collateral Position, Collateral Exposure, Settlements, and Disputes. These are distributed downstream to Credit Ops, Risk Reporting, and Treasury; upstream to the limits engine and counterparty review; and into regulatory feeds for CCR, BCBS, and LCR.</w:t>
      </w:r>
    </w:p>
    <w:p>
      <w:pPr>
        <w:spacing w:after="100" w:before="100"/>
      </w:pPr>
      <w:r>
        <w:rPr>
          <w:rFonts w:ascii="Calibri" w:cs="Calibri" w:eastAsia="Calibri" w:hAnsi="Calibri"/>
          <w:sz w:val="22"/>
          <w:szCs w:val="22"/>
        </w:rPr>
        <w:t xml:space="preserve">These are reports, not data products. The path to making them products is described separately on the 'From Risk Reports to Governed Data Products' page. This page focuses on the modeling work.</w:t>
      </w:r>
    </w:p>
    <w:p>
      <w:pPr>
        <w:pStyle w:val="Heading1"/>
        <w:spacing w:after="180" w:before="360"/>
      </w:pPr>
      <w:r>
        <w:rPr>
          <w:b/>
          <w:bCs/>
          <w:color w:val="176B2C"/>
          <w:sz w:val="32"/>
          <w:szCs w:val="32"/>
        </w:rPr>
        <w:t xml:space="preserve">Where we're 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3 — Where we're heading ]</w:t>
            </w:r>
          </w:p>
        </w:tc>
      </w:tr>
    </w:tbl>
    <w:p>
      <w:pPr>
        <w:spacing w:after="100" w:before="100"/>
      </w:pPr>
      <w:r>
        <w:rPr>
          <w:rFonts w:ascii="Calibri" w:cs="Calibri" w:eastAsia="Calibri" w:hAnsi="Calibri"/>
          <w:sz w:val="22"/>
          <w:szCs w:val="22"/>
        </w:rPr>
        <w:t xml:space="preserve">Three layers describe the journey: app-level flat reports, the conformed layer where modeling happens, and the Risk Domain Model + governed data products at the top.</w:t>
      </w:r>
    </w:p>
    <w:p>
      <w:pPr>
        <w:pStyle w:val="Heading1"/>
        <w:spacing w:after="180" w:before="360"/>
      </w:pPr>
      <w:r>
        <w:rPr>
          <w:b/>
          <w:bCs/>
          <w:color w:val="176B2C"/>
          <w:sz w:val="32"/>
          <w:szCs w:val="32"/>
        </w:rPr>
        <w:t xml:space="preserve">Step 1 — See the entities hiding in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4 — See the entities hiding in your data ]</w:t>
            </w:r>
          </w:p>
        </w:tc>
      </w:tr>
    </w:tbl>
    <w:p>
      <w:pPr>
        <w:spacing w:after="100" w:before="100"/>
      </w:pPr>
      <w:r>
        <w:rPr>
          <w:rFonts w:ascii="Calibri" w:cs="Calibri" w:eastAsia="Calibri" w:hAnsi="Calibri"/>
          <w:sz w:val="22"/>
          <w:szCs w:val="22"/>
        </w:rPr>
        <w:t xml:space="preserve">A flat row looks like a single record. It's actually several entities and a measurement bundled together. Take one row from CMOS's Collateral Exposure report. Its columns — counterparty_id, csa_id, asset_class, asset_type, currency, exposure_amount, pledged_amount — actually hide Counterparty, CSA, Asset, Currency entities, and an Exposure fact with two measures.</w:t>
      </w:r>
    </w:p>
    <w:p>
      <w:pPr>
        <w:pStyle w:val="Heading1"/>
        <w:spacing w:after="180" w:before="360"/>
      </w:pPr>
      <w:r>
        <w:rPr>
          <w:b/>
          <w:bCs/>
          <w:color w:val="176B2C"/>
          <w:sz w:val="32"/>
          <w:szCs w:val="32"/>
        </w:rPr>
        <w:t xml:space="preserve">Step 2 — Sketch your application's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5 — Sketch your application's model ]</w:t>
            </w:r>
          </w:p>
        </w:tc>
      </w:tr>
    </w:tbl>
    <w:p>
      <w:pPr>
        <w:spacing w:after="100" w:before="100"/>
      </w:pPr>
      <w:r>
        <w:rPr>
          <w:rFonts w:ascii="Calibri" w:cs="Calibri" w:eastAsia="Calibri" w:hAnsi="Calibri"/>
          <w:sz w:val="22"/>
          <w:szCs w:val="22"/>
        </w:rPr>
        <w:t xml:space="preserve">Once you've named the entities, draw the relationships between them. Boxes for entities, lines for relationships. Mark which attributes are primary keys (PK) and which are foreign keys (FK).</w:t>
      </w:r>
    </w:p>
    <w:p>
      <w:pPr>
        <w:pStyle w:val="Heading1"/>
        <w:spacing w:after="180" w:before="360"/>
      </w:pPr>
      <w:r>
        <w:rPr>
          <w:b/>
          <w:bCs/>
          <w:color w:val="176B2C"/>
          <w:sz w:val="32"/>
          <w:szCs w:val="32"/>
        </w:rPr>
        <w:t xml:space="preserve">Step 3 — Classify your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6 — Classify your entities ]</w:t>
            </w:r>
          </w:p>
        </w:tc>
      </w:tr>
    </w:tbl>
    <w:p>
      <w:pPr>
        <w:spacing w:after="100" w:before="100"/>
      </w:pPr>
      <w:r>
        <w:rPr>
          <w:rFonts w:ascii="Calibri" w:cs="Calibri" w:eastAsia="Calibri" w:hAnsi="Calibri"/>
          <w:sz w:val="22"/>
          <w:szCs w:val="22"/>
        </w:rPr>
        <w:t xml:space="preserve">Three categories: Enterprise reference (currency, country, master counterparty), risk-internal conformed (counterparty enriched, CSA, asset taxonomy, FX rate), and app-specific (codes and intermediate calcs that stay in the malcode schema).</w:t>
      </w:r>
    </w:p>
    <w:p>
      <w:pPr>
        <w:pStyle w:val="Heading1"/>
        <w:spacing w:after="180" w:before="360"/>
      </w:pPr>
      <w:r>
        <w:rPr>
          <w:b/>
          <w:bCs/>
          <w:color w:val="176B2C"/>
          <w:sz w:val="32"/>
          <w:szCs w:val="32"/>
        </w:rPr>
        <w:t xml:space="preserve">Step 4 — Conform across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7 — Conform across applications ]</w:t>
            </w:r>
          </w:p>
        </w:tc>
      </w:tr>
    </w:tbl>
    <w:p>
      <w:pPr>
        <w:spacing w:after="100" w:before="100"/>
      </w:pPr>
      <w:r>
        <w:rPr>
          <w:rFonts w:ascii="Calibri" w:cs="Calibri" w:eastAsia="Calibri" w:hAnsi="Calibri"/>
          <w:sz w:val="22"/>
          <w:szCs w:val="22"/>
        </w:rPr>
        <w:t xml:space="preserve">Two concrete examples: CMOS uses MIDAS FX while ALFA uses LAMP; conformed solution is core.fx_rate. CMOS asset taxonomy differs from ALFA's; conformed solution is core.asset_type with mapping rules in its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Conformance is not deleting one source in favor of another — it's making the rules explicit in the entity definition so cross-app joins are trustworthy.</w:t>
            </w:r>
          </w:p>
        </w:tc>
      </w:tr>
    </w:tbl>
    <w:p>
      <w:pPr>
        <w:pStyle w:val="Heading1"/>
        <w:spacing w:after="180" w:before="360"/>
      </w:pPr>
      <w:r>
        <w:rPr>
          <w:b/>
          <w:bCs/>
          <w:color w:val="176B2C"/>
          <w:sz w:val="32"/>
          <w:szCs w:val="32"/>
        </w:rPr>
        <w:t xml:space="preserve">Two representations of the same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8 — Two representations ]</w:t>
            </w:r>
          </w:p>
        </w:tc>
      </w:tr>
    </w:tbl>
    <w:p>
      <w:pPr>
        <w:spacing w:after="100" w:before="100"/>
      </w:pPr>
      <w:r>
        <w:rPr>
          <w:rFonts w:ascii="Calibri" w:cs="Calibri" w:eastAsia="Calibri" w:hAnsi="Calibri"/>
          <w:sz w:val="22"/>
          <w:szCs w:val="22"/>
        </w:rPr>
        <w:t xml:space="preserve">The same model has two faces: a visual ERD for Collibra and Erwin/PowerDesigner, and a technical DDL with PK/FK/CHECK constraints in Unity Catalog. Both come from the same logical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9 — Erwin / PowerDesigner placeholder ]</w:t>
            </w:r>
          </w:p>
        </w:tc>
      </w:tr>
    </w:tbl>
    <w:p>
      <w:pPr>
        <w:pStyle w:val="Heading1"/>
        <w:spacing w:after="180" w:before="360"/>
      </w:pPr>
      <w:r>
        <w:rPr>
          <w:b/>
          <w:bCs/>
          <w:color w:val="176B2C"/>
          <w:sz w:val="32"/>
          <w:szCs w:val="32"/>
        </w:rPr>
        <w:t xml:space="preserve">Where this leads — back to data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10 — Where this leads ]</w:t>
            </w:r>
          </w:p>
        </w:tc>
      </w:tr>
    </w:tbl>
    <w:p>
      <w:pPr>
        <w:spacing w:after="100" w:before="100"/>
      </w:pPr>
      <w:r>
        <w:rPr>
          <w:rFonts w:ascii="Calibri" w:cs="Calibri" w:eastAsia="Calibri" w:hAnsi="Calibri"/>
          <w:sz w:val="22"/>
          <w:szCs w:val="22"/>
        </w:rPr>
        <w:t xml:space="preserve">With application data alone, foundational products are useful but cross-app joins are unreliable. With conformed entities, foundational products reference the conformed FX, taxonomy, and counterparty. Derived products reconcile cleanly because divergences are resolved in the conformed layer. Star schemas and BI follow naturally on top.</w:t>
      </w:r>
    </w:p>
    <w:p>
      <w:pPr>
        <w:pStyle w:val="Heading1"/>
        <w:spacing w:after="180" w:before="360"/>
      </w:pPr>
      <w:r>
        <w:rPr>
          <w:b/>
          <w:bCs/>
          <w:color w:val="176B2C"/>
          <w:sz w:val="32"/>
          <w:szCs w:val="32"/>
        </w:rPr>
        <w:t xml:space="preserve">How the data contract gets built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11 — How the contract gets built ]</w:t>
            </w:r>
          </w:p>
        </w:tc>
      </w:tr>
    </w:tbl>
    <w:p>
      <w:pPr>
        <w:spacing w:after="100" w:before="100"/>
      </w:pPr>
      <w:r>
        <w:rPr>
          <w:rFonts w:ascii="Calibri" w:cs="Calibri" w:eastAsia="Calibri" w:hAnsi="Calibri"/>
          <w:sz w:val="22"/>
          <w:szCs w:val="22"/>
        </w:rPr>
        <w:t xml:space="preserve">The data contract isn't authored from scratch — it's composed from upstream artifacts. Most YAML blocks are derived from somewhere: the grain, dimensions, and measures come from the semantic layer (Metric View); naming comes from the Naming Convention output; classification and ownership come from app-layer tags (inherited via CI); upstream lineage comes from UC observed lineage; quality constraints come from Erwin / PowerDesigner; change history comes from Jira and Git.</w:t>
      </w:r>
    </w:p>
    <w:p>
      <w:pPr>
        <w:spacing w:after="100" w:before="100"/>
      </w:pPr>
      <w:r>
        <w:rPr>
          <w:rFonts w:ascii="Calibri" w:cs="Calibri" w:eastAsia="Calibri" w:hAnsi="Calibri"/>
          <w:sz w:val="22"/>
          <w:szCs w:val="22"/>
        </w:rPr>
        <w:t xml:space="preserve">A few blocks are authored directly in the contract — the business description, the use-case context from intake, the manual approvals on change history. Everything else is automation.</w:t>
      </w:r>
    </w:p>
    <w:p>
      <w:pPr>
        <w:spacing w:after="100" w:before="100"/>
      </w:pPr>
      <w:r>
        <w:rPr>
          <w:rFonts w:ascii="Calibri" w:cs="Calibri" w:eastAsia="Calibri" w:hAnsi="Calibri"/>
          <w:sz w:val="22"/>
          <w:szCs w:val="22"/>
        </w:rPr>
        <w:t xml:space="preserve">Why this matters: less duplicate authoring, less drift between artifacts, and the contract becomes an honest reflection of what's already known elsewhere.</w:t>
      </w:r>
    </w:p>
    <w:p>
      <w:pPr>
        <w:pStyle w:val="Heading1"/>
        <w:spacing w:after="180" w:before="360"/>
      </w:pPr>
      <w:r>
        <w:rPr>
          <w:b/>
          <w:bCs/>
          <w:color w:val="176B2C"/>
          <w:sz w:val="32"/>
          <w:szCs w:val="32"/>
        </w:rPr>
        <w:t xml:space="preserve">From query-based to model-based consumption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12 — From query to model ]</w:t>
            </w:r>
          </w:p>
        </w:tc>
      </w:tr>
    </w:tbl>
    <w:p>
      <w:pPr>
        <w:spacing w:after="100" w:before="100"/>
      </w:pPr>
      <w:r>
        <w:rPr>
          <w:rFonts w:ascii="Calibri" w:cs="Calibri" w:eastAsia="Calibri" w:hAnsi="Calibri"/>
          <w:sz w:val="22"/>
          <w:szCs w:val="22"/>
        </w:rPr>
        <w:t xml:space="preserve">Today, when the business has a question, a developer writes a SQL query. Next question — next query. Hundreds of one-off queries accumulate. Each one embeds someone's interpretation of how a measure should be calculated.</w:t>
      </w:r>
    </w:p>
    <w:p>
      <w:pPr>
        <w:spacing w:after="100" w:before="100"/>
      </w:pPr>
      <w:r>
        <w:rPr>
          <w:rFonts w:ascii="Calibri" w:cs="Calibri" w:eastAsia="Calibri" w:hAnsi="Calibri"/>
          <w:sz w:val="22"/>
          <w:szCs w:val="22"/>
        </w:rPr>
        <w:t xml:space="preserve">A semantic layer changes this pattern. The semantic layer is a concept — the implementation in the current direction is Databricks Metric Views, but it could equally be in dbt, MicroStrategy, AtScale, or another tool. Whichever tool implements it, the principle is the same: declare the measures, aggregations, dimensions, and joins once in the model. BI tools, Genie, ad-hoc users, and AI agents all query the model directly.</w:t>
      </w:r>
    </w:p>
    <w:p>
      <w:pPr>
        <w:spacing w:after="100" w:before="100"/>
      </w:pPr>
      <w:r>
        <w:rPr>
          <w:rFonts w:ascii="Calibri" w:cs="Calibri" w:eastAsia="Calibri" w:hAnsi="Calibri"/>
          <w:sz w:val="22"/>
          <w:szCs w:val="22"/>
        </w:rPr>
        <w:t xml:space="preserve">What this means for the team: developer time shifts from writing one-off queries to building durable models. The Data Product Owner becomes the bridge between business and the model.</w:t>
      </w:r>
    </w:p>
    <w:p>
      <w:pPr>
        <w:spacing w:after="100" w:before="100"/>
      </w:pPr>
      <w:r>
        <w:rPr>
          <w:rFonts w:ascii="Calibri" w:cs="Calibri" w:eastAsia="Calibri" w:hAnsi="Calibri"/>
          <w:i/>
          <w:iCs/>
          <w:color w:val="595959"/>
          <w:sz w:val="22"/>
          <w:szCs w:val="22"/>
        </w:rPr>
        <w:t xml:space="preserve">For the standards-level treatment of this shift, see Section H of the Standards &amp; Artifacts Library — the new 'Why this matters' subsection.</w:t>
      </w:r>
    </w:p>
    <w:p>
      <w:pPr>
        <w:pStyle w:val="Heading1"/>
        <w:spacing w:after="180" w:before="360"/>
      </w:pPr>
      <w:r>
        <w:rPr>
          <w:b/>
          <w:bCs/>
          <w:color w:val="176B2C"/>
          <w:sz w:val="32"/>
          <w:szCs w:val="32"/>
        </w:rPr>
        <w:t xml:space="preserve">Where to go from here</w:t>
      </w:r>
    </w:p>
    <w:p>
      <w:pPr>
        <w:pStyle w:val="ListParagraph"/>
        <w:numPr>
          <w:ilvl w:val="0"/>
          <w:numId w:val="2"/>
        </w:numPr>
        <w:spacing w:after="50" w:before="50"/>
      </w:pPr>
      <w:r>
        <w:rPr>
          <w:sz w:val="22"/>
          <w:szCs w:val="22"/>
        </w:rPr>
        <w:t xml:space="preserve">Architecture &amp; Design — the A→B→C resolution path and three views of the data</w:t>
      </w:r>
    </w:p>
    <w:p>
      <w:pPr>
        <w:pStyle w:val="ListParagraph"/>
        <w:numPr>
          <w:ilvl w:val="0"/>
          <w:numId w:val="2"/>
        </w:numPr>
        <w:spacing w:after="50" w:before="50"/>
      </w:pPr>
      <w:r>
        <w:rPr>
          <w:sz w:val="22"/>
          <w:szCs w:val="22"/>
        </w:rPr>
        <w:t xml:space="preserve">Worked Example — Counterparty 360 — how a real product is built on these foundations</w:t>
      </w:r>
    </w:p>
    <w:p>
      <w:pPr>
        <w:pStyle w:val="ListParagraph"/>
        <w:numPr>
          <w:ilvl w:val="0"/>
          <w:numId w:val="2"/>
        </w:numPr>
        <w:spacing w:after="50" w:before="50"/>
      </w:pPr>
      <w:r>
        <w:rPr>
          <w:sz w:val="22"/>
          <w:szCs w:val="22"/>
        </w:rPr>
        <w:t xml:space="preserve">Risk Marketplace landing — how products are discovered and consumed once built</w:t>
      </w:r>
    </w:p>
    <w:p>
      <w:pPr>
        <w:pStyle w:val="ListParagraph"/>
        <w:numPr>
          <w:ilvl w:val="0"/>
          <w:numId w:val="2"/>
        </w:numPr>
        <w:spacing w:after="50" w:before="50"/>
      </w:pPr>
      <w:r>
        <w:rPr>
          <w:sz w:val="22"/>
          <w:szCs w:val="22"/>
        </w:rPr>
        <w:t xml:space="preserve">From Risk Reports to Governed Data Products — how existing reports get promoted into the journey</w:t>
      </w:r>
    </w:p>
    <w:p>
      <w:pPr>
        <w:pStyle w:val="ListParagraph"/>
        <w:numPr>
          <w:ilvl w:val="0"/>
          <w:numId w:val="2"/>
        </w:numPr>
        <w:spacing w:after="50" w:before="50"/>
      </w:pPr>
      <w:r>
        <w:rPr>
          <w:sz w:val="22"/>
          <w:szCs w:val="22"/>
        </w:rPr>
        <w:t xml:space="preserve">Standards &amp; Artifacts Library Section H — the Semantic Layer Standard (Metric Views) with sample exploration queries</w:t>
      </w:r>
    </w:p>
    <w:p>
      <w:pPr>
        <w:pStyle w:val="ListParagraph"/>
        <w:numPr>
          <w:ilvl w:val="0"/>
          <w:numId w:val="2"/>
        </w:numPr>
        <w:spacing w:after="50" w:before="50"/>
      </w:pPr>
      <w:r>
        <w:rPr>
          <w:sz w:val="22"/>
          <w:szCs w:val="22"/>
        </w:rPr>
        <w:t xml:space="preserve">Standards &amp; Artifacts Library Section I — Authoring Flows (who authors what)</w:t>
      </w:r>
    </w:p>
    <w:p>
      <w:pPr>
        <w:pStyle w:val="ListParagraph"/>
        <w:numPr>
          <w:ilvl w:val="0"/>
          <w:numId w:val="2"/>
        </w:numPr>
        <w:spacing w:after="50" w:before="50"/>
      </w:pPr>
      <w:r>
        <w:rPr>
          <w:sz w:val="22"/>
          <w:szCs w:val="22"/>
        </w:rPr>
        <w:t xml:space="preserve">Roles &amp; Responsibilities — Three authoring flows (Business / Data Product Owner / Engineer)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76B2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2026-05-15T12:08:12.179Z</dcterms:created>
  <dcterms:modified xsi:type="dcterms:W3CDTF">2026-05-15T12:08:12.179Z</dcterms:modified>
</cp:coreProperties>
</file>

<file path=docProps/custom.xml><?xml version="1.0" encoding="utf-8"?>
<Properties xmlns="http://schemas.openxmlformats.org/officeDocument/2006/custom-properties" xmlns:vt="http://schemas.openxmlformats.org/officeDocument/2006/docPropsVTypes"/>
</file>