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76B2C"/>
          <w:sz w:val="36"/>
          <w:szCs w:val="36"/>
        </w:rPr>
        <w:t xml:space="preserve">North Star — Addendum</w:t>
      </w:r>
    </w:p>
    <w:p>
      <w:pPr>
        <w:spacing w:after="280"/>
        <w:jc w:val="center"/>
      </w:pPr>
      <w:r>
        <w:rPr>
          <w:i/>
          <w:iCs/>
          <w:color w:val="595959"/>
          <w:sz w:val="22"/>
          <w:szCs w:val="22"/>
        </w:rPr>
        <w:t xml:space="preserve">What we're doing — four threads</w:t>
      </w:r>
    </w:p>
    <w:p>
      <w:pPr>
        <w:spacing w:after="100" w:before="100"/>
      </w:pPr>
      <w:r>
        <w:rPr>
          <w:rFonts w:ascii="Calibri" w:cs="Calibri" w:eastAsia="Calibri" w:hAnsi="Calibri"/>
          <w:i/>
          <w:iCs/>
          <w:color w:val="595959"/>
          <w:sz w:val="22"/>
          <w:szCs w:val="22"/>
        </w:rPr>
        <w:t xml:space="preserve">What this section adds. The existing North Star describes the journey and the target. This addendum names the four parallel threads of work that make up that journey, so the team can see clearly that the effort is more than just data integration. Add this section to the North Star Confluence page, after the existing journey description.</w:t>
      </w:r>
    </w:p>
    <w:p>
      <w:pPr>
        <w:pStyle w:val="Heading2"/>
        <w:spacing w:after="140" w:before="280"/>
      </w:pPr>
      <w:r>
        <w:rPr>
          <w:b/>
          <w:bCs/>
          <w:color w:val="176B2C"/>
          <w:sz w:val="26"/>
          <w:szCs w:val="26"/>
        </w:rPr>
        <w:t xml:space="preserve">What we're doing — four threads</w:t>
      </w:r>
    </w:p>
    <w:p>
      <w:pPr>
        <w:spacing w:after="100" w:before="100"/>
      </w:pPr>
      <w:r>
        <w:rPr>
          <w:rFonts w:ascii="Calibri" w:cs="Calibri" w:eastAsia="Calibri" w:hAnsi="Calibri"/>
          <w:sz w:val="22"/>
          <w:szCs w:val="22"/>
        </w:rPr>
        <w:t xml:space="preserve">The risk data effort is not one workstream — it is four parallel threads, all converging on the same target state. Calling them out explicitly helps the team understand that integrating the data physically is only part of the picture. Each thread serves a distinct purpose; together they make risk data trustworthy, discoverable, and self-servable.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8B47" w:sz="4"/>
              <w:left w:val="dashed" w:color="2E8B47" w:sz="4"/>
              <w:bottom w:val="dashed" w:color="2E8B47" w:sz="4"/>
              <w:right w:val="dashed" w:color="2E8B47" w:sz="4"/>
            </w:tcBorders>
            <w:shd w:fill="E5F0DD" w:color="auto" w:val="clear"/>
            <w:tcMar>
              <w:top w:type="dxa" w:w="140"/>
              <w:left w:type="dxa" w:w="200"/>
              <w:bottom w:type="dxa" w:w="140"/>
              <w:right w:type="dxa" w:w="200"/>
            </w:tcMar>
          </w:tcPr>
          <w:p>
            <w:pPr>
              <w:jc w:val="center"/>
            </w:pPr>
            <w:r>
              <w:rPr>
                <w:b/>
                <w:bCs/>
                <w:i/>
                <w:iCs/>
                <w:color w:val="176B2C"/>
                <w:sz w:val="22"/>
                <w:szCs w:val="22"/>
              </w:rPr>
              <w:t xml:space="preserve">[ IMAGE: Slide — North Star four threads (from data_modeling_deck_v2.pptx slide 13) ]</w:t>
            </w:r>
          </w:p>
        </w:tc>
      </w:tr>
    </w:tbl>
    <w:p>
      <w:pPr>
        <w:pStyle w:val="Heading3"/>
        <w:spacing w:after="120" w:before="240"/>
      </w:pPr>
      <w:r>
        <w:rPr>
          <w:b/>
          <w:bCs/>
          <w:color w:val="2E8B47"/>
          <w:sz w:val="22"/>
          <w:szCs w:val="22"/>
        </w:rPr>
        <w:t xml:space="preserve">1. Physical integration</w:t>
      </w:r>
    </w:p>
    <w:p>
      <w:pPr>
        <w:spacing w:after="100" w:before="100"/>
      </w:pPr>
      <w:r>
        <w:rPr>
          <w:rFonts w:ascii="Calibri" w:cs="Calibri" w:eastAsia="Calibri" w:hAnsi="Calibri"/>
          <w:sz w:val="22"/>
          <w:szCs w:val="22"/>
        </w:rPr>
        <w:t xml:space="preserve">Risk applications generate data into many different targets today — HBase, Cassandra, file shares, JSON payloads, Postgres databases, Druid timeseries stores. We are consolidating that data into Databricks (Unity Catalog) as the centralized analytics platform.</w:t>
      </w:r>
    </w:p>
    <w:p>
      <w:pPr>
        <w:spacing w:after="100" w:before="100"/>
      </w:pPr>
      <w:r>
        <w:rPr>
          <w:rFonts w:ascii="Calibri" w:cs="Calibri" w:eastAsia="Calibri" w:hAnsi="Calibri"/>
          <w:i/>
          <w:iCs/>
          <w:color w:val="595959"/>
          <w:sz w:val="22"/>
          <w:szCs w:val="22"/>
        </w:rPr>
        <w:t xml:space="preserve">Today: scattered across many stores, hard to discover, hard to query together. Target: one searchable, governed analytics platform.</w:t>
      </w:r>
    </w:p>
    <w:p>
      <w:pPr>
        <w:pStyle w:val="Heading3"/>
        <w:spacing w:after="120" w:before="240"/>
      </w:pPr>
      <w:r>
        <w:rPr>
          <w:b/>
          <w:bCs/>
          <w:color w:val="B46F18"/>
          <w:sz w:val="22"/>
          <w:szCs w:val="22"/>
        </w:rPr>
        <w:t xml:space="preserve">2. Structural conformance</w:t>
      </w:r>
    </w:p>
    <w:p>
      <w:pPr>
        <w:spacing w:after="100" w:before="100"/>
      </w:pPr>
      <w:r>
        <w:rPr>
          <w:rFonts w:ascii="Calibri" w:cs="Calibri" w:eastAsia="Calibri" w:hAnsi="Calibri"/>
          <w:sz w:val="22"/>
          <w:szCs w:val="22"/>
        </w:rPr>
        <w:t xml:space="preserve">Bringing data physically together is necessary but not sufficient. Different risk applications represent the same concepts differently — CMOS uses FX rates from MIDAS while ALFA uses LAMP; CMOS classifies assets one way and ALFA classifies them another. Without conformance, cross-app joins produce wrong answers, silently. Structural conformance is the work of identifying these divergences and resolving them through explicit conformed entities (core.fx_rate, core.asset_type, core.counterparty) with documented mapping rules.</w:t>
      </w:r>
    </w:p>
    <w:p>
      <w:pPr>
        <w:spacing w:after="100" w:before="100"/>
      </w:pPr>
      <w:r>
        <w:rPr>
          <w:rFonts w:ascii="Calibri" w:cs="Calibri" w:eastAsia="Calibri" w:hAnsi="Calibri"/>
          <w:i/>
          <w:iCs/>
          <w:color w:val="595959"/>
          <w:sz w:val="22"/>
          <w:szCs w:val="22"/>
        </w:rPr>
        <w:t xml:space="preserve">Today: each application names things its own way; cross-app analysis is unreliable. Target: conformed entities with explicit mapping rules captured in the entity definitions.</w:t>
      </w:r>
    </w:p>
    <w:p>
      <w:pPr>
        <w:pStyle w:val="Heading3"/>
        <w:spacing w:after="120" w:before="240"/>
      </w:pPr>
      <w:r>
        <w:rPr>
          <w:b/>
          <w:bCs/>
          <w:color w:val="176B2C"/>
          <w:sz w:val="22"/>
          <w:szCs w:val="22"/>
        </w:rPr>
        <w:t xml:space="preserve">3. Modeling work</w:t>
      </w:r>
    </w:p>
    <w:p>
      <w:pPr>
        <w:spacing w:after="100" w:before="100"/>
      </w:pPr>
      <w:r>
        <w:rPr>
          <w:rFonts w:ascii="Calibri" w:cs="Calibri" w:eastAsia="Calibri" w:hAnsi="Calibri"/>
          <w:sz w:val="22"/>
          <w:szCs w:val="22"/>
        </w:rPr>
        <w:t xml:space="preserve">Application-level models, Product Group-level models, and the overarching Risk Domain Model. Each level documents entities AND their relationships — not just lists of tables, but a model showing how the pieces fit together. Conformed entities anchor the model; data products are built on top of it. The modeling work produces an ERD that can be documented in Erwin or PowerDesigner, cataloged in Collibra, and physically realized in Unity Catalog as schemas with PK/FK/CHECK constraints.</w:t>
      </w:r>
    </w:p>
    <w:p>
      <w:pPr>
        <w:spacing w:after="100" w:before="100"/>
      </w:pPr>
      <w:r>
        <w:rPr>
          <w:rFonts w:ascii="Calibri" w:cs="Calibri" w:eastAsia="Calibri" w:hAnsi="Calibri"/>
          <w:i/>
          <w:iCs/>
          <w:color w:val="595959"/>
          <w:sz w:val="22"/>
          <w:szCs w:val="22"/>
        </w:rPr>
        <w:t xml:space="preserve">Today: data exists but isn't modeled; ERDs are absent or out of date. Target: a documented model in Erwin / Collibra, queryable in Databricks.</w:t>
      </w:r>
    </w:p>
    <w:p>
      <w:pPr>
        <w:pStyle w:val="Heading3"/>
        <w:spacing w:after="120" w:before="240"/>
      </w:pPr>
      <w:r>
        <w:rPr>
          <w:b/>
          <w:bCs/>
          <w:color w:val="176B2C"/>
          <w:sz w:val="22"/>
          <w:szCs w:val="22"/>
        </w:rPr>
        <w:t xml:space="preserve">4. From query to model</w:t>
      </w:r>
    </w:p>
    <w:p>
      <w:pPr>
        <w:spacing w:after="100" w:before="100"/>
      </w:pPr>
      <w:r>
        <w:rPr>
          <w:rFonts w:ascii="Calibri" w:cs="Calibri" w:eastAsia="Calibri" w:hAnsi="Calibri"/>
          <w:sz w:val="22"/>
          <w:szCs w:val="22"/>
        </w:rPr>
        <w:t xml:space="preserve">Replacing the one-off-SQL pattern with a semantic layer that BI tools and business users can query directly. Today, every business question goes back to a developer who writes a custom query. With a semantic layer (the concept; implemented as Databricks Metric Views in the current direction — could equally be in dbt, MicroStrategy, or another tool), the model itself is queryable. The business drags and drops; the BI tool queries the model; the answer is consistent every time because the aggregation rules and joins are in the model. Developer time shifts from writing one-off queries to building durable models.</w:t>
      </w:r>
    </w:p>
    <w:p>
      <w:pPr>
        <w:spacing w:after="100" w:before="100"/>
      </w:pPr>
      <w:r>
        <w:rPr>
          <w:rFonts w:ascii="Calibri" w:cs="Calibri" w:eastAsia="Calibri" w:hAnsi="Calibri"/>
          <w:i/>
          <w:iCs/>
          <w:color w:val="595959"/>
          <w:sz w:val="22"/>
          <w:szCs w:val="22"/>
        </w:rPr>
        <w:t xml:space="preserve">Today: hundreds of one-off queries; every new question waits on a developer. Target: self-serve through BI tools on a documented, queryable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B2C" w:sz="4"/>
              <w:left w:val="single" w:color="176B2C" w:sz="24"/>
              <w:bottom w:val="single" w:color="176B2C" w:sz="4"/>
              <w:right w:val="single" w:color="176B2C" w:sz="4"/>
            </w:tcBorders>
            <w:shd w:fill="E5F0DD" w:color="auto" w:val="clear"/>
            <w:tcMar>
              <w:top w:type="dxa" w:w="160"/>
              <w:left w:type="dxa" w:w="220"/>
              <w:bottom w:type="dxa" w:w="160"/>
              <w:right w:type="dxa" w:w="220"/>
            </w:tcMar>
          </w:tcPr>
          <w:p>
            <w:r>
              <w:rPr>
                <w:b/>
                <w:bCs/>
                <w:color w:val="176B2C"/>
                <w:sz w:val="22"/>
                <w:szCs w:val="22"/>
              </w:rPr>
              <w:t xml:space="preserve">All four threads converge on the same target — trustworthy risk data that is discoverable, consistent, and self-servable. None of the four threads is optional. None replaces the others.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76B2C"/>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76B2C"/>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176B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2026-05-15T12:06:23.379Z</dcterms:created>
  <dcterms:modified xsi:type="dcterms:W3CDTF">2026-05-15T12:06:23.395Z</dcterms:modified>
</cp:coreProperties>
</file>

<file path=docProps/custom.xml><?xml version="1.0" encoding="utf-8"?>
<Properties xmlns="http://schemas.openxmlformats.org/officeDocument/2006/custom-properties" xmlns:vt="http://schemas.openxmlformats.org/officeDocument/2006/docPropsVTypes"/>
</file>