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76B2C"/>
          <w:sz w:val="36"/>
          <w:szCs w:val="36"/>
        </w:rPr>
        <w:t xml:space="preserve">Roles &amp; Responsibilities — Addendum</w:t>
      </w:r>
    </w:p>
    <w:p>
      <w:pPr>
        <w:spacing w:after="280"/>
        <w:jc w:val="center"/>
      </w:pPr>
      <w:r>
        <w:rPr>
          <w:i/>
          <w:iCs/>
          <w:color w:val="595959"/>
          <w:sz w:val="22"/>
          <w:szCs w:val="22"/>
        </w:rPr>
        <w:t xml:space="preserve">Three authoring flows — Business · Data Product Owner · Engineer</w:t>
      </w:r>
    </w:p>
    <w:p>
      <w:pPr>
        <w:spacing w:after="100" w:before="100"/>
      </w:pPr>
      <w:r>
        <w:rPr>
          <w:rFonts w:ascii="Calibri" w:cs="Calibri" w:eastAsia="Calibri" w:hAnsi="Calibri"/>
          <w:i/>
          <w:iCs/>
          <w:color w:val="595959"/>
          <w:sz w:val="22"/>
          <w:szCs w:val="22"/>
        </w:rPr>
        <w:t xml:space="preserve">What this section adds. The existing Roles &amp; Responsibilities page lists actors and activities. This addendum names the three authoring flows that operate in parallel across those actors. Integrate this as a new section, ideally after the existing 'Actors' section and before the 'Activities matrix'.</w:t>
      </w:r>
    </w:p>
    <w:p>
      <w:pPr>
        <w:pStyle w:val="Heading2"/>
        <w:spacing w:after="140" w:before="280"/>
      </w:pPr>
      <w:r>
        <w:rPr>
          <w:b/>
          <w:bCs/>
          <w:color w:val="176B2C"/>
          <w:sz w:val="26"/>
          <w:szCs w:val="26"/>
        </w:rPr>
        <w:t xml:space="preserve">Three authoring flows</w:t>
      </w:r>
    </w:p>
    <w:p>
      <w:pPr>
        <w:spacing w:after="100" w:before="100"/>
      </w:pPr>
      <w:r>
        <w:rPr>
          <w:rFonts w:ascii="Calibri" w:cs="Calibri" w:eastAsia="Calibri" w:hAnsi="Calibri"/>
          <w:sz w:val="22"/>
          <w:szCs w:val="22"/>
        </w:rPr>
        <w:t xml:space="preserve">Beyond who does which activity, there's a useful pattern for understanding who is the source of truth for different kinds of metadata. Three flows operate in parallel:</w:t>
      </w:r>
    </w:p>
    <w:p>
      <w:pPr>
        <w:pStyle w:val="Heading3"/>
        <w:spacing w:after="120" w:before="240"/>
      </w:pPr>
      <w:r>
        <w:rPr>
          <w:b/>
          <w:bCs/>
          <w:color w:val="1F4E78"/>
          <w:sz w:val="22"/>
          <w:szCs w:val="22"/>
        </w:rPr>
        <w:t xml:space="preserve">1. Business / Consumer flow</w:t>
      </w:r>
    </w:p>
    <w:p>
      <w:pPr>
        <w:spacing w:after="100" w:before="100"/>
      </w:pPr>
      <w:r>
        <w:rPr>
          <w:rFonts w:ascii="Calibri" w:cs="Calibri" w:eastAsia="Calibri" w:hAnsi="Calibri"/>
          <w:sz w:val="22"/>
          <w:szCs w:val="22"/>
        </w:rPr>
        <w:t xml:space="preserve">The Business team and downstream consumers are the source of truth for what products and metrics should exist. They surface gaps in current data, raise Jira intake tickets, define the questions they need answered, and validate finished data products against the original use case.</w:t>
      </w:r>
    </w:p>
    <w:p>
      <w:pPr>
        <w:spacing w:after="100" w:before="100"/>
      </w:pPr>
      <w:r>
        <w:rPr>
          <w:rFonts w:ascii="Calibri" w:cs="Calibri" w:eastAsia="Calibri" w:hAnsi="Calibri"/>
          <w:i/>
          <w:iCs/>
          <w:color w:val="595959"/>
          <w:sz w:val="22"/>
          <w:szCs w:val="22"/>
        </w:rPr>
        <w:t xml:space="preserve">Authored: intake form content, use-case definitions, validation feedback. Channeled into the team via: Jira intake, conversation with the Data Product Owner (DD).</w:t>
      </w:r>
    </w:p>
    <w:p>
      <w:pPr>
        <w:spacing w:after="100" w:before="100"/>
      </w:pPr>
      <w:r>
        <w:rPr>
          <w:rFonts w:ascii="Calibri" w:cs="Calibri" w:eastAsia="Calibri" w:hAnsi="Calibri"/>
          <w:sz w:val="22"/>
          <w:szCs w:val="22"/>
        </w:rPr>
        <w:t xml:space="preserve">The Business is not expected to write contracts or set tags. They're the demand side. But everything downstream starts from them.</w:t>
      </w:r>
    </w:p>
    <w:p>
      <w:pPr>
        <w:pStyle w:val="Heading3"/>
        <w:spacing w:after="120" w:before="240"/>
      </w:pPr>
      <w:r>
        <w:rPr>
          <w:b/>
          <w:bCs/>
          <w:color w:val="176B2C"/>
          <w:sz w:val="22"/>
          <w:szCs w:val="22"/>
        </w:rPr>
        <w:t xml:space="preserve">2. Data Product Owner flow</w:t>
      </w:r>
    </w:p>
    <w:p>
      <w:pPr>
        <w:spacing w:after="100" w:before="100"/>
      </w:pPr>
      <w:r>
        <w:rPr>
          <w:rFonts w:ascii="Calibri" w:cs="Calibri" w:eastAsia="Calibri" w:hAnsi="Calibri"/>
          <w:sz w:val="22"/>
          <w:szCs w:val="22"/>
        </w:rPr>
        <w:t xml:space="preserve">The Data Product Owner (currently the Risk Data Director / DD role) is the bridge between the Business and Engineering. They translate business needs into data product specifications. They are in active conversation with the consumer and decide which new products to build based on what the consumer really needs.</w:t>
      </w:r>
    </w:p>
    <w:p>
      <w:pPr>
        <w:spacing w:after="100" w:before="100"/>
      </w:pPr>
      <w:r>
        <w:rPr>
          <w:rFonts w:ascii="Calibri" w:cs="Calibri" w:eastAsia="Calibri" w:hAnsi="Calibri"/>
          <w:sz w:val="22"/>
          <w:szCs w:val="22"/>
        </w:rPr>
        <w:t xml:space="preserve">The Data Product Owner authors the data contract YAML, which is the durable expression of the product. Contract YAML covers identity (product_id, contract.alias, capability, archetype), ownership (owner.*), operational commitments (refresh.*, change_policy), grain, dimensions, measures, description, and change history. CI projects the contract into Unity Catalog tags on the physical table.</w:t>
      </w:r>
    </w:p>
    <w:p>
      <w:pPr>
        <w:spacing w:after="100" w:before="100"/>
      </w:pPr>
      <w:r>
        <w:rPr>
          <w:rFonts w:ascii="Calibri" w:cs="Calibri" w:eastAsia="Calibri" w:hAnsi="Calibri"/>
          <w:i/>
          <w:iCs/>
          <w:color w:val="595959"/>
          <w:sz w:val="22"/>
          <w:szCs w:val="22"/>
        </w:rPr>
        <w:t xml:space="preserve">Authored: contract YAML in Git. Projected as UC tags by CI. Approved by: PG Tech Product Owner for business definitions; Risk Data Team for technical standards.</w:t>
      </w:r>
    </w:p>
    <w:p>
      <w:pPr>
        <w:spacing w:after="100" w:before="100"/>
      </w:pPr>
      <w:r>
        <w:rPr>
          <w:rFonts w:ascii="Calibri" w:cs="Calibri" w:eastAsia="Calibri" w:hAnsi="Calibri"/>
          <w:sz w:val="22"/>
          <w:szCs w:val="22"/>
        </w:rPr>
        <w:t xml:space="preserve">A useful way to think about the Data Product Owner role: in the query-based world (today), the developer is the bridge between business and answers — writing every query, owning every change. In the model-based world (target), the Data Product Owner shapes the model with the business; engineering implements. The Data Product Owner is the role that absorbs and durable-ises the conversation that today happens via ad-hoc query requests.</w:t>
      </w:r>
    </w:p>
    <w:p>
      <w:pPr>
        <w:pStyle w:val="Heading3"/>
        <w:spacing w:after="120" w:before="240"/>
      </w:pPr>
      <w:r>
        <w:rPr>
          <w:b/>
          <w:bCs/>
          <w:color w:val="B46F18"/>
          <w:sz w:val="22"/>
          <w:szCs w:val="22"/>
        </w:rPr>
        <w:t xml:space="preserve">3. Engineer flow</w:t>
      </w:r>
    </w:p>
    <w:p>
      <w:pPr>
        <w:spacing w:after="100" w:before="100"/>
      </w:pPr>
      <w:r>
        <w:rPr>
          <w:rFonts w:ascii="Calibri" w:cs="Calibri" w:eastAsia="Calibri" w:hAnsi="Calibri"/>
          <w:sz w:val="22"/>
          <w:szCs w:val="22"/>
        </w:rPr>
        <w:t xml:space="preserve">Engineering (Engineering Lead, App Owner, Risk Warehouse Data Team) implements products and pipelines. The Engineer owns the operational and technical-mapping metadata — the tags that describe what the data actually IS at the physical layer.</w:t>
      </w:r>
    </w:p>
    <w:p>
      <w:pPr>
        <w:spacing w:after="100" w:before="100"/>
      </w:pPr>
      <w:r>
        <w:rPr>
          <w:rFonts w:ascii="Calibri" w:cs="Calibri" w:eastAsia="Calibri" w:hAnsi="Calibri"/>
          <w:i/>
          <w:iCs/>
          <w:color w:val="595959"/>
          <w:sz w:val="22"/>
          <w:szCs w:val="22"/>
        </w:rPr>
        <w:t xml:space="preserve">Authored directly on the object: source.app, source.domain, identity.business_name, identity.short_name, identity.alias at column level, class.pii from auto-classification (reviewed and confirmed). When a table is deprecated, the Engineer flips status. When conformance is wired up between an app schema and the core layer, the Engineer records source-app column names as aliases.</w:t>
      </w:r>
    </w:p>
    <w:p>
      <w:pPr>
        <w:spacing w:after="100" w:before="100"/>
      </w:pPr>
      <w:r>
        <w:rPr>
          <w:rFonts w:ascii="Calibri" w:cs="Calibri" w:eastAsia="Calibri" w:hAnsi="Calibri"/>
          <w:sz w:val="22"/>
          <w:szCs w:val="22"/>
        </w:rPr>
        <w:t xml:space="preserve">The Engineer doesn't author capability or refresh.sla — those are product-owner concerns. The Engineer authors what they know from being in the data.</w:t>
      </w:r>
    </w:p>
    <w:p>
      <w:pPr>
        <w:pStyle w:val="Heading3"/>
        <w:spacing w:after="120" w:before="240"/>
      </w:pPr>
      <w:r>
        <w:rPr>
          <w:b/>
          <w:bCs/>
          <w:color w:val="176B2C"/>
          <w:sz w:val="22"/>
          <w:szCs w:val="22"/>
        </w:rPr>
        <w:t xml:space="preserve">How the three flows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Demand starts with Business. Definition is owned by the Data Product Owner. Implementation lives with the Engineer. Each flow has different tooling, different authoring surfaces, different review cadences — but they all converge on the same governed data products.</w:t>
            </w:r>
          </w:p>
        </w:tc>
      </w:tr>
    </w:tbl>
    <w:p>
      <w:pPr>
        <w:spacing w:after="100" w:before="100"/>
      </w:pPr>
      <w:r>
        <w:rPr>
          <w:rFonts w:ascii="Calibri" w:cs="Calibri" w:eastAsia="Calibri" w:hAnsi="Calibri"/>
          <w:sz w:val="22"/>
          <w:szCs w:val="22"/>
        </w:rPr>
        <w:t xml:space="preserve">When a tag or attribute is contested ('who should set this?'), the test is: is this a statement about what the product is contracted to be (Data Product Owner), or about what it physically is at this moment in the platform (Engineer), or about why it exists in the first place (Business)? That test usually resolves the ambiguity.</w:t>
      </w:r>
    </w:p>
    <w:p>
      <w:pPr>
        <w:spacing w:after="100" w:before="100"/>
      </w:pPr>
      <w:r>
        <w:rPr>
          <w:rFonts w:ascii="Calibri" w:cs="Calibri" w:eastAsia="Calibri" w:hAnsi="Calibri"/>
          <w:i/>
          <w:iCs/>
          <w:color w:val="595959"/>
          <w:sz w:val="22"/>
          <w:szCs w:val="22"/>
        </w:rPr>
        <w:t xml:space="preserve">For the detailed authoring-flow-by-tag table, see Section I of the Standards &amp; Artifacts Library.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76B2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76B2C"/>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76B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2026-05-15T12:06:23.685Z</dcterms:created>
  <dcterms:modified xsi:type="dcterms:W3CDTF">2026-05-15T12:06:23.685Z</dcterms:modified>
</cp:coreProperties>
</file>

<file path=docProps/custom.xml><?xml version="1.0" encoding="utf-8"?>
<Properties xmlns="http://schemas.openxmlformats.org/officeDocument/2006/custom-properties" xmlns:vt="http://schemas.openxmlformats.org/officeDocument/2006/docPropsVTypes"/>
</file>