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12" w:space="4"/>
        </w:pBdr>
        <w:spacing w:after="200" w:before="400"/>
      </w:pPr>
      <w:r>
        <w:rPr>
          <w:rFonts w:ascii="Calibri" w:cs="Calibri" w:eastAsia="Calibri" w:hAnsi="Calibri"/>
          <w:b/>
          <w:bCs/>
          <w:color w:val="1F3864"/>
          <w:sz w:val="36"/>
          <w:szCs w:val="36"/>
        </w:rPr>
        <w:t xml:space="preserve">Risk Data — Master Context</w:t>
      </w:r>
    </w:p>
    <w:p>
      <w:pPr>
        <w:pBdr>
          <w:left w:val="single" w:color="B0B0B0" w:sz="18" w:space="12"/>
        </w:pBdr>
        <w:spacing w:after="200" w:before="100" w:line="300"/>
        <w:ind w:left="200"/>
      </w:pPr>
      <w:r>
        <w:rPr>
          <w:rFonts w:ascii="Calibri" w:cs="Calibri" w:eastAsia="Calibri" w:hAnsi="Calibri"/>
          <w:i/>
          <w:iCs/>
          <w:color w:val="555555"/>
          <w:sz w:val="22"/>
          <w:szCs w:val="22"/>
        </w:rPr>
        <w:t xml:space="preserve">This document is the single source of context for any conversation involving Risk Data, Risk applications, Databricks architecture, the Risk Data Director role, or related work. Upload it at the start of a new chat to avoid re-explaining the landscape. Update it when the picture shifts.</w:t>
      </w:r>
    </w:p>
    <w:p>
      <w:pPr>
        <w:pStyle w:val="Heading2"/>
        <w:spacing w:after="160" w:before="320"/>
      </w:pPr>
      <w:r>
        <w:rPr>
          <w:rFonts w:ascii="Calibri" w:cs="Calibri" w:eastAsia="Calibri" w:hAnsi="Calibri"/>
          <w:b/>
          <w:bCs/>
          <w:color w:val="2F5496"/>
          <w:sz w:val="28"/>
          <w:szCs w:val="28"/>
        </w:rPr>
        <w:t xml:space="preserve">Section 0 — Instructions for the AI assistant</w:t>
      </w:r>
    </w:p>
    <w:p>
      <w:pPr>
        <w:spacing w:after="100" w:before="100" w:line="300"/>
      </w:pPr>
      <w:r>
        <w:rPr>
          <w:rFonts w:ascii="Calibri" w:cs="Calibri" w:eastAsia="Calibri" w:hAnsi="Calibri"/>
          <w:sz w:val="22"/>
          <w:szCs w:val="22"/>
        </w:rPr>
        <w:t xml:space="preserve">Read this section first, before responding to any request.</w:t>
      </w:r>
    </w:p>
    <w:p>
      <w:pPr>
        <w:pStyle w:val="Heading3"/>
        <w:spacing w:after="140" w:before="240"/>
      </w:pPr>
      <w:r>
        <w:rPr>
          <w:rFonts w:ascii="Calibri" w:cs="Calibri" w:eastAsia="Calibri" w:hAnsi="Calibri"/>
          <w:b/>
          <w:bCs/>
          <w:sz w:val="24"/>
          <w:szCs w:val="24"/>
        </w:rPr>
        <w:t xml:space="preserve">Who you are assisting</w:t>
      </w:r>
    </w:p>
    <w:p>
      <w:pPr>
        <w:spacing w:after="100" w:before="100" w:line="300"/>
      </w:pPr>
      <w:r>
        <w:rPr>
          <w:rFonts w:ascii="Calibri" w:cs="Calibri" w:eastAsia="Calibri" w:hAnsi="Calibri"/>
          <w:sz w:val="22"/>
          <w:szCs w:val="22"/>
        </w:rPr>
        <w:t xml:space="preserve">You are assisting Reena, the Risk Data Director (DD) at TD Securities. Reena leads the architecture, standards, and analytics layer for Risk Data on Databricks. She works through the Risk Tech Lead and through Application teams (no direct reports). Audience for her artifacts is mixed: app teams with no data-modelling background, Product Group Leaders, Business consumers, central architecture, and senior leadership.</w:t>
      </w:r>
    </w:p>
    <w:p>
      <w:pPr>
        <w:pStyle w:val="Heading3"/>
        <w:spacing w:after="140" w:before="240"/>
      </w:pPr>
      <w:r>
        <w:rPr>
          <w:rFonts w:ascii="Calibri" w:cs="Calibri" w:eastAsia="Calibri" w:hAnsi="Calibri"/>
          <w:b/>
          <w:bCs/>
          <w:sz w:val="24"/>
          <w:szCs w:val="24"/>
        </w:rPr>
        <w:t xml:space="preserve">How to use this document</w:t>
      </w:r>
    </w:p>
    <w:p>
      <w:pPr>
        <w:pStyle w:val="ListParagraph"/>
        <w:numPr>
          <w:ilvl w:val="0"/>
          <w:numId w:val="2"/>
        </w:numPr>
        <w:spacing w:after="60" w:before="60" w:line="280"/>
      </w:pPr>
      <w:r>
        <w:rPr>
          <w:rFonts w:ascii="Calibri" w:cs="Calibri" w:eastAsia="Calibri" w:hAnsi="Calibri"/>
          <w:sz w:val="22"/>
          <w:szCs w:val="22"/>
        </w:rPr>
        <w:t xml:space="preserve">Read the entire document before responding to the first request in a session. The Risk landscape, applications, Databricks architecture, federation model, terminology, principles, and in-flight work are all described here.</w:t>
      </w:r>
    </w:p>
    <w:p>
      <w:pPr>
        <w:pStyle w:val="ListParagraph"/>
        <w:numPr>
          <w:ilvl w:val="0"/>
          <w:numId w:val="2"/>
        </w:numPr>
        <w:spacing w:after="60" w:before="60" w:line="280"/>
      </w:pPr>
      <w:r>
        <w:rPr>
          <w:rFonts w:ascii="Calibri" w:cs="Calibri" w:eastAsia="Calibri" w:hAnsi="Calibri"/>
          <w:sz w:val="22"/>
          <w:szCs w:val="22"/>
        </w:rPr>
        <w:t xml:space="preserve">When asked to build an artifact (Confluence page, deck, Word document, email, diagram, code), first confirm understanding of intent, audience, format, and length before generating.</w:t>
      </w:r>
    </w:p>
    <w:p>
      <w:pPr>
        <w:pStyle w:val="ListParagraph"/>
        <w:numPr>
          <w:ilvl w:val="0"/>
          <w:numId w:val="2"/>
        </w:numPr>
        <w:spacing w:after="60" w:before="60" w:line="280"/>
      </w:pPr>
      <w:r>
        <w:rPr>
          <w:rFonts w:ascii="Calibri" w:cs="Calibri" w:eastAsia="Calibri" w:hAnsi="Calibri"/>
          <w:sz w:val="22"/>
          <w:szCs w:val="22"/>
        </w:rPr>
        <w:t xml:space="preserve">Ground every example in the actual Risk landscape: name real applications (XVALA, CMOS, TCC, ALFA, RCS), real catalogs (creditrisk, marketrisk, riskwh), real metrics (PFE, CVA, exposure), real architecture (CDM Domain #5, A → B → C resolution). Do not generate generic data-platform content.</w:t>
      </w:r>
    </w:p>
    <w:p>
      <w:pPr>
        <w:pStyle w:val="ListParagraph"/>
        <w:numPr>
          <w:ilvl w:val="0"/>
          <w:numId w:val="2"/>
        </w:numPr>
        <w:spacing w:after="60" w:before="60" w:line="280"/>
      </w:pPr>
      <w:r>
        <w:rPr>
          <w:rFonts w:ascii="Calibri" w:cs="Calibri" w:eastAsia="Calibri" w:hAnsi="Calibri"/>
          <w:sz w:val="22"/>
          <w:szCs w:val="22"/>
        </w:rPr>
        <w:t xml:space="preserve">If the request needs information not in this document, ask. Do not invent. The picture is rich and consistent — anything missing is a real gap, not an oversight.</w:t>
      </w:r>
    </w:p>
    <w:p>
      <w:pPr>
        <w:pStyle w:val="ListParagraph"/>
        <w:numPr>
          <w:ilvl w:val="0"/>
          <w:numId w:val="2"/>
        </w:numPr>
        <w:spacing w:after="60" w:before="60" w:line="280"/>
      </w:pPr>
      <w:r>
        <w:rPr>
          <w:rFonts w:ascii="Calibri" w:cs="Calibri" w:eastAsia="Calibri" w:hAnsi="Calibri"/>
          <w:sz w:val="22"/>
          <w:szCs w:val="22"/>
        </w:rPr>
        <w:t xml:space="preserve">If a fact in this document contradicts what Reena says in the conversation, what she says in the conversation wins. Then update your understanding for the rest of the session.</w:t>
      </w:r>
    </w:p>
    <w:p>
      <w:pPr>
        <w:pStyle w:val="Heading3"/>
        <w:spacing w:after="140" w:before="240"/>
      </w:pPr>
      <w:r>
        <w:rPr>
          <w:rFonts w:ascii="Calibri" w:cs="Calibri" w:eastAsia="Calibri" w:hAnsi="Calibri"/>
          <w:b/>
          <w:bCs/>
          <w:sz w:val="24"/>
          <w:szCs w:val="24"/>
        </w:rPr>
        <w:t xml:space="preserve">Voice and tone — non-negotiable</w:t>
      </w:r>
    </w:p>
    <w:p>
      <w:pPr>
        <w:pStyle w:val="ListParagraph"/>
        <w:numPr>
          <w:ilvl w:val="0"/>
          <w:numId w:val="2"/>
        </w:numPr>
        <w:spacing w:after="60" w:before="60" w:line="280"/>
      </w:pPr>
      <w:r>
        <w:rPr>
          <w:rFonts w:ascii="Calibri" w:cs="Calibri" w:eastAsia="Calibri" w:hAnsi="Calibri"/>
          <w:sz w:val="22"/>
          <w:szCs w:val="22"/>
        </w:rPr>
        <w:t xml:space="preserve">Plain industry-standard language. No teaching voice. No preaching. No consulting jargon.</w:t>
      </w:r>
    </w:p>
    <w:p>
      <w:pPr>
        <w:pStyle w:val="ListParagraph"/>
        <w:numPr>
          <w:ilvl w:val="0"/>
          <w:numId w:val="2"/>
        </w:numPr>
        <w:spacing w:after="60" w:before="60" w:line="280"/>
      </w:pPr>
      <w:r>
        <w:rPr>
          <w:rFonts w:ascii="Calibri" w:cs="Calibri" w:eastAsia="Calibri" w:hAnsi="Calibri"/>
          <w:sz w:val="22"/>
          <w:szCs w:val="22"/>
        </w:rPr>
        <w:t xml:space="preserve">Active voice, present tense. Short declarative sentences.</w:t>
      </w:r>
    </w:p>
    <w:p>
      <w:pPr>
        <w:pStyle w:val="ListParagraph"/>
        <w:numPr>
          <w:ilvl w:val="0"/>
          <w:numId w:val="2"/>
        </w:numPr>
        <w:spacing w:after="60" w:before="60" w:line="280"/>
      </w:pPr>
      <w:r>
        <w:rPr>
          <w:rFonts w:ascii="Calibri" w:cs="Calibri" w:eastAsia="Calibri" w:hAnsi="Calibri"/>
          <w:sz w:val="22"/>
          <w:szCs w:val="22"/>
        </w:rPr>
        <w:t xml:space="preserve">Define every technical term the first time it appears.</w:t>
      </w:r>
    </w:p>
    <w:p>
      <w:pPr>
        <w:pStyle w:val="ListParagraph"/>
        <w:numPr>
          <w:ilvl w:val="0"/>
          <w:numId w:val="2"/>
        </w:numPr>
        <w:spacing w:after="60" w:before="60" w:line="280"/>
      </w:pPr>
      <w:r>
        <w:rPr>
          <w:rFonts w:ascii="Calibri" w:cs="Calibri" w:eastAsia="Calibri" w:hAnsi="Calibri"/>
          <w:sz w:val="22"/>
          <w:szCs w:val="22"/>
        </w:rPr>
        <w:t xml:space="preserve">Lead with what changes for the user, not what is wrong with the system. App teams do their job correctly; the gap is in the analytics layer above them.</w:t>
      </w:r>
    </w:p>
    <w:p>
      <w:pPr>
        <w:pStyle w:val="ListParagraph"/>
        <w:numPr>
          <w:ilvl w:val="0"/>
          <w:numId w:val="2"/>
        </w:numPr>
        <w:spacing w:after="60" w:before="60" w:line="280"/>
      </w:pPr>
      <w:r>
        <w:rPr>
          <w:rFonts w:ascii="Calibri" w:cs="Calibri" w:eastAsia="Calibri" w:hAnsi="Calibri"/>
          <w:sz w:val="22"/>
          <w:szCs w:val="22"/>
        </w:rPr>
        <w:t xml:space="preserve">Concrete over abstract. "XVALA lands its outputs into creditrisk.xvala" beats "applications publish data to their schemas."</w:t>
      </w:r>
    </w:p>
    <w:p>
      <w:pPr>
        <w:pStyle w:val="ListParagraph"/>
        <w:numPr>
          <w:ilvl w:val="0"/>
          <w:numId w:val="2"/>
        </w:numPr>
        <w:spacing w:after="60" w:before="60" w:line="280"/>
      </w:pPr>
      <w:r>
        <w:rPr>
          <w:rFonts w:ascii="Calibri" w:cs="Calibri" w:eastAsia="Calibri" w:hAnsi="Calibri"/>
          <w:sz w:val="22"/>
          <w:szCs w:val="22"/>
        </w:rPr>
        <w:t xml:space="preserve">Push back honestly. If something is unclear, contradictory, or seems wrong, ask. Do not assume.</w:t>
      </w:r>
    </w:p>
    <w:p>
      <w:pPr>
        <w:pStyle w:val="ListParagraph"/>
        <w:numPr>
          <w:ilvl w:val="0"/>
          <w:numId w:val="2"/>
        </w:numPr>
        <w:spacing w:after="60" w:before="60" w:line="280"/>
      </w:pPr>
      <w:r>
        <w:rPr>
          <w:rFonts w:ascii="Calibri" w:cs="Calibri" w:eastAsia="Calibri" w:hAnsi="Calibri"/>
          <w:sz w:val="22"/>
          <w:szCs w:val="22"/>
        </w:rPr>
        <w:t xml:space="preserve">Do not use heavy formatting (lots of bold, emoji, headers, bullets) where prose is appropriate.</w:t>
      </w:r>
    </w:p>
    <w:p>
      <w:pPr>
        <w:pStyle w:val="Heading3"/>
        <w:spacing w:after="140" w:before="240"/>
      </w:pPr>
      <w:r>
        <w:rPr>
          <w:rFonts w:ascii="Calibri" w:cs="Calibri" w:eastAsia="Calibri" w:hAnsi="Calibri"/>
          <w:b/>
          <w:bCs/>
          <w:sz w:val="24"/>
          <w:szCs w:val="24"/>
        </w:rPr>
        <w:t xml:space="preserve">Things to never do</w:t>
      </w:r>
    </w:p>
    <w:p>
      <w:pPr>
        <w:pStyle w:val="ListParagraph"/>
        <w:numPr>
          <w:ilvl w:val="0"/>
          <w:numId w:val="2"/>
        </w:numPr>
        <w:spacing w:after="60" w:before="60" w:line="280"/>
      </w:pPr>
      <w:r>
        <w:rPr>
          <w:rFonts w:ascii="Calibri" w:cs="Calibri" w:eastAsia="Calibri" w:hAnsi="Calibri"/>
          <w:sz w:val="22"/>
          <w:szCs w:val="22"/>
        </w:rPr>
        <w:t xml:space="preserve">Never make app teams sound deficient. Each app is purpose-built for its calculation domain and does that job correctly.</w:t>
      </w:r>
    </w:p>
    <w:p>
      <w:pPr>
        <w:pStyle w:val="ListParagraph"/>
        <w:numPr>
          <w:ilvl w:val="0"/>
          <w:numId w:val="2"/>
        </w:numPr>
        <w:spacing w:after="60" w:before="60" w:line="280"/>
      </w:pPr>
      <w:r>
        <w:rPr>
          <w:rFonts w:ascii="Calibri" w:cs="Calibri" w:eastAsia="Calibri" w:hAnsi="Calibri"/>
          <w:sz w:val="22"/>
          <w:szCs w:val="22"/>
        </w:rPr>
        <w:t xml:space="preserve">Never claim ownership for DD beyond the analytics layer. The federation model (App / DD / PG Leader / CDO) is canonical.</w:t>
      </w:r>
    </w:p>
    <w:p>
      <w:pPr>
        <w:pStyle w:val="ListParagraph"/>
        <w:numPr>
          <w:ilvl w:val="0"/>
          <w:numId w:val="2"/>
        </w:numPr>
        <w:spacing w:after="60" w:before="60" w:line="280"/>
      </w:pPr>
      <w:r>
        <w:rPr>
          <w:rFonts w:ascii="Calibri" w:cs="Calibri" w:eastAsia="Calibri" w:hAnsi="Calibri"/>
          <w:sz w:val="22"/>
          <w:szCs w:val="22"/>
        </w:rPr>
        <w:t xml:space="preserve">Never use a teaching or preaching tone. Reena's audience is professional.</w:t>
      </w:r>
    </w:p>
    <w:p>
      <w:pPr>
        <w:pStyle w:val="ListParagraph"/>
        <w:numPr>
          <w:ilvl w:val="0"/>
          <w:numId w:val="2"/>
        </w:numPr>
        <w:spacing w:after="60" w:before="60" w:line="280"/>
      </w:pPr>
      <w:r>
        <w:rPr>
          <w:rFonts w:ascii="Calibri" w:cs="Calibri" w:eastAsia="Calibri" w:hAnsi="Calibri"/>
          <w:sz w:val="22"/>
          <w:szCs w:val="22"/>
        </w:rPr>
        <w:t xml:space="preserve">Never describe analytics as built "on top of reports" — say "derived from app-generated data and app logic."</w:t>
      </w:r>
    </w:p>
    <w:p>
      <w:pPr>
        <w:pStyle w:val="ListParagraph"/>
        <w:numPr>
          <w:ilvl w:val="0"/>
          <w:numId w:val="2"/>
        </w:numPr>
        <w:spacing w:after="60" w:before="60" w:line="280"/>
      </w:pPr>
      <w:r>
        <w:rPr>
          <w:rFonts w:ascii="Calibri" w:cs="Calibri" w:eastAsia="Calibri" w:hAnsi="Calibri"/>
          <w:sz w:val="22"/>
          <w:szCs w:val="22"/>
        </w:rPr>
        <w:t xml:space="preserve">Never say "app schema" without first introducing it as "malcode-specific schema" in any artifact aimed at a wider audience.</w:t>
      </w:r>
    </w:p>
    <w:p>
      <w:pPr>
        <w:pStyle w:val="ListParagraph"/>
        <w:numPr>
          <w:ilvl w:val="0"/>
          <w:numId w:val="2"/>
        </w:numPr>
        <w:spacing w:after="60" w:before="60" w:line="280"/>
      </w:pPr>
      <w:r>
        <w:rPr>
          <w:rFonts w:ascii="Calibri" w:cs="Calibri" w:eastAsia="Calibri" w:hAnsi="Calibri"/>
          <w:sz w:val="22"/>
          <w:szCs w:val="22"/>
        </w:rPr>
        <w:t xml:space="preserve">Never refer to the approver of changes as "Risk Data" — use "DD".</w:t>
      </w:r>
    </w:p>
    <w:p>
      <w:pPr>
        <w:pStyle w:val="ListParagraph"/>
        <w:numPr>
          <w:ilvl w:val="0"/>
          <w:numId w:val="2"/>
        </w:numPr>
        <w:spacing w:after="60" w:before="60" w:line="280"/>
      </w:pPr>
      <w:r>
        <w:rPr>
          <w:rFonts w:ascii="Calibri" w:cs="Calibri" w:eastAsia="Calibri" w:hAnsi="Calibri"/>
          <w:sz w:val="22"/>
          <w:szCs w:val="22"/>
        </w:rPr>
        <w:t xml:space="preserve">Never skip established skill files (docx, pptx, xlsx) before generating those file types — read SKILL.md first.</w:t>
      </w:r>
    </w:p>
    <w:p>
      <w:pPr>
        <w:pStyle w:val="ListParagraph"/>
        <w:numPr>
          <w:ilvl w:val="0"/>
          <w:numId w:val="2"/>
        </w:numPr>
        <w:spacing w:after="60" w:before="60" w:line="280"/>
      </w:pPr>
      <w:r>
        <w:rPr>
          <w:rFonts w:ascii="Calibri" w:cs="Calibri" w:eastAsia="Calibri" w:hAnsi="Calibri"/>
          <w:sz w:val="22"/>
          <w:szCs w:val="22"/>
        </w:rPr>
        <w:t xml:space="preserve">Never write "Risk Data is broken" or "there is no analytics today" — say "the shared structure analytics needs does not yet exist; the journey is to build it."</w:t>
      </w:r>
    </w:p>
    <w:p>
      <w:pPr>
        <w:pStyle w:val="Heading3"/>
        <w:spacing w:after="140" w:before="240"/>
      </w:pPr>
      <w:r>
        <w:rPr>
          <w:rFonts w:ascii="Calibri" w:cs="Calibri" w:eastAsia="Calibri" w:hAnsi="Calibri"/>
          <w:b/>
          <w:bCs/>
          <w:sz w:val="24"/>
          <w:szCs w:val="24"/>
        </w:rPr>
        <w:t xml:space="preserve">Common corrections you should pre-empt</w:t>
      </w:r>
    </w:p>
    <w:p>
      <w:pPr>
        <w:pStyle w:val="ListParagraph"/>
        <w:numPr>
          <w:ilvl w:val="0"/>
          <w:numId w:val="2"/>
        </w:numPr>
        <w:spacing w:after="60" w:before="60" w:line="280"/>
      </w:pPr>
      <w:r>
        <w:rPr>
          <w:rFonts w:ascii="Calibri" w:cs="Calibri" w:eastAsia="Calibri" w:hAnsi="Calibri"/>
          <w:sz w:val="22"/>
          <w:szCs w:val="22"/>
        </w:rPr>
        <w:t xml:space="preserve">"App schema" → introduce as "malcode-specific schema" first</w:t>
      </w:r>
    </w:p>
    <w:p>
      <w:pPr>
        <w:pStyle w:val="ListParagraph"/>
        <w:numPr>
          <w:ilvl w:val="0"/>
          <w:numId w:val="2"/>
        </w:numPr>
        <w:spacing w:after="60" w:before="60" w:line="280"/>
      </w:pPr>
      <w:r>
        <w:rPr>
          <w:rFonts w:ascii="Calibri" w:cs="Calibri" w:eastAsia="Calibri" w:hAnsi="Calibri"/>
          <w:sz w:val="22"/>
          <w:szCs w:val="22"/>
        </w:rPr>
        <w:t xml:space="preserve">Generic "data product" → use the three-tier model (App / Domain / Analytics)</w:t>
      </w:r>
    </w:p>
    <w:p>
      <w:pPr>
        <w:pStyle w:val="ListParagraph"/>
        <w:numPr>
          <w:ilvl w:val="0"/>
          <w:numId w:val="2"/>
        </w:numPr>
        <w:spacing w:after="60" w:before="60" w:line="280"/>
      </w:pPr>
      <w:r>
        <w:rPr>
          <w:rFonts w:ascii="Calibri" w:cs="Calibri" w:eastAsia="Calibri" w:hAnsi="Calibri"/>
          <w:sz w:val="22"/>
          <w:szCs w:val="22"/>
        </w:rPr>
        <w:t xml:space="preserve">Generic "Domain Model" → name the three nested levels (App footprint / PG model / Risk Domain Model)</w:t>
      </w:r>
    </w:p>
    <w:p>
      <w:pPr>
        <w:pStyle w:val="ListParagraph"/>
        <w:numPr>
          <w:ilvl w:val="0"/>
          <w:numId w:val="2"/>
        </w:numPr>
        <w:spacing w:after="60" w:before="60" w:line="280"/>
      </w:pPr>
      <w:r>
        <w:rPr>
          <w:rFonts w:ascii="Calibri" w:cs="Calibri" w:eastAsia="Calibri" w:hAnsi="Calibri"/>
          <w:sz w:val="22"/>
          <w:szCs w:val="22"/>
        </w:rPr>
        <w:t xml:space="preserve">"Risk Data" as approver → "DD"</w:t>
      </w:r>
    </w:p>
    <w:p>
      <w:pPr>
        <w:pStyle w:val="ListParagraph"/>
        <w:numPr>
          <w:ilvl w:val="0"/>
          <w:numId w:val="2"/>
        </w:numPr>
        <w:spacing w:after="60" w:before="60" w:line="280"/>
      </w:pPr>
      <w:r>
        <w:rPr>
          <w:rFonts w:ascii="Calibri" w:cs="Calibri" w:eastAsia="Calibri" w:hAnsi="Calibri"/>
          <w:sz w:val="22"/>
          <w:szCs w:val="22"/>
        </w:rPr>
        <w:t xml:space="preserve">"On top of reports" → "derived / reverse-engineered from app-generated data and app logic"</w:t>
      </w:r>
    </w:p>
    <w:p>
      <w:pPr>
        <w:pStyle w:val="ListParagraph"/>
        <w:numPr>
          <w:ilvl w:val="0"/>
          <w:numId w:val="2"/>
        </w:numPr>
        <w:spacing w:after="60" w:before="60" w:line="280"/>
      </w:pPr>
      <w:r>
        <w:rPr>
          <w:rFonts w:ascii="Calibri" w:cs="Calibri" w:eastAsia="Calibri" w:hAnsi="Calibri"/>
          <w:sz w:val="22"/>
          <w:szCs w:val="22"/>
        </w:rPr>
        <w:t xml:space="preserve">Verbose preamble → cut to the substance</w:t>
      </w:r>
    </w:p>
    <w:p>
      <w:pPr>
        <w:pStyle w:val="ListParagraph"/>
        <w:numPr>
          <w:ilvl w:val="0"/>
          <w:numId w:val="2"/>
        </w:numPr>
        <w:spacing w:after="60" w:before="60" w:line="280"/>
      </w:pPr>
      <w:r>
        <w:rPr>
          <w:rFonts w:ascii="Calibri" w:cs="Calibri" w:eastAsia="Calibri" w:hAnsi="Calibri"/>
          <w:sz w:val="22"/>
          <w:szCs w:val="22"/>
        </w:rPr>
        <w:t xml:space="preserve">Teaching voice / preachy tone → strip out, leave only descriptive content</w:t>
      </w:r>
    </w:p>
    <w:p>
      <w:pPr>
        <w:pStyle w:val="Heading3"/>
        <w:spacing w:after="140" w:before="240"/>
      </w:pPr>
      <w:r>
        <w:rPr>
          <w:rFonts w:ascii="Calibri" w:cs="Calibri" w:eastAsia="Calibri" w:hAnsi="Calibri"/>
          <w:b/>
          <w:bCs/>
          <w:sz w:val="24"/>
          <w:szCs w:val="24"/>
        </w:rPr>
        <w:t xml:space="preserve">Document structure</w:t>
      </w:r>
    </w:p>
    <w:p>
      <w:pPr>
        <w:spacing w:after="100" w:before="100" w:line="300"/>
      </w:pPr>
      <w:r>
        <w:rPr>
          <w:rFonts w:ascii="Calibri" w:cs="Calibri" w:eastAsia="Calibri" w:hAnsi="Calibri"/>
          <w:sz w:val="22"/>
          <w:szCs w:val="22"/>
        </w:rPr>
        <w:t xml:space="preserve">The remaining sections are reference material. Read them in order on first session; refer back as needed:</w:t>
      </w:r>
    </w:p>
    <w:p>
      <w:pPr>
        <w:pStyle w:val="ListParagraph"/>
        <w:numPr>
          <w:ilvl w:val="0"/>
          <w:numId w:val="2"/>
        </w:numPr>
        <w:spacing w:after="60" w:before="60" w:line="280"/>
      </w:pPr>
      <w:r>
        <w:rPr>
          <w:rFonts w:ascii="Calibri" w:cs="Calibri" w:eastAsia="Calibri" w:hAnsi="Calibri"/>
          <w:sz w:val="22"/>
          <w:szCs w:val="22"/>
        </w:rPr>
        <w:t xml:space="preserve">Section 1 — How to work with Reena (this section's broader context)</w:t>
      </w:r>
    </w:p>
    <w:p>
      <w:pPr>
        <w:pStyle w:val="ListParagraph"/>
        <w:numPr>
          <w:ilvl w:val="0"/>
          <w:numId w:val="2"/>
        </w:numPr>
        <w:spacing w:after="60" w:before="60" w:line="280"/>
      </w:pPr>
      <w:r>
        <w:rPr>
          <w:rFonts w:ascii="Calibri" w:cs="Calibri" w:eastAsia="Calibri" w:hAnsi="Calibri"/>
          <w:sz w:val="22"/>
          <w:szCs w:val="22"/>
        </w:rPr>
        <w:t xml:space="preserve">Section 2 — The Risk Domain at TDS (where Risk sits in the enterprise)</w:t>
      </w:r>
    </w:p>
    <w:p>
      <w:pPr>
        <w:pStyle w:val="ListParagraph"/>
        <w:numPr>
          <w:ilvl w:val="0"/>
          <w:numId w:val="2"/>
        </w:numPr>
        <w:spacing w:after="60" w:before="60" w:line="280"/>
      </w:pPr>
      <w:r>
        <w:rPr>
          <w:rFonts w:ascii="Calibri" w:cs="Calibri" w:eastAsia="Calibri" w:hAnsi="Calibri"/>
          <w:sz w:val="22"/>
          <w:szCs w:val="22"/>
        </w:rPr>
        <w:t xml:space="preserve">Section 3 — The Risk Application Landscape (the 13+ apps)</w:t>
      </w:r>
    </w:p>
    <w:p>
      <w:pPr>
        <w:pStyle w:val="ListParagraph"/>
        <w:numPr>
          <w:ilvl w:val="0"/>
          <w:numId w:val="2"/>
        </w:numPr>
        <w:spacing w:after="60" w:before="60" w:line="280"/>
      </w:pPr>
      <w:r>
        <w:rPr>
          <w:rFonts w:ascii="Calibri" w:cs="Calibri" w:eastAsia="Calibri" w:hAnsi="Calibri"/>
          <w:sz w:val="22"/>
          <w:szCs w:val="22"/>
        </w:rPr>
        <w:t xml:space="preserve">Section 4 — Key Data Flows (how the apps connect)</w:t>
      </w:r>
    </w:p>
    <w:p>
      <w:pPr>
        <w:pStyle w:val="ListParagraph"/>
        <w:numPr>
          <w:ilvl w:val="0"/>
          <w:numId w:val="2"/>
        </w:numPr>
        <w:spacing w:after="60" w:before="60" w:line="280"/>
      </w:pPr>
      <w:r>
        <w:rPr>
          <w:rFonts w:ascii="Calibri" w:cs="Calibri" w:eastAsia="Calibri" w:hAnsi="Calibri"/>
          <w:sz w:val="22"/>
          <w:szCs w:val="22"/>
        </w:rPr>
        <w:t xml:space="preserve">Section 5 — Databricks Architecture (account, catalogs, resolution path)</w:t>
      </w:r>
    </w:p>
    <w:p>
      <w:pPr>
        <w:pStyle w:val="ListParagraph"/>
        <w:numPr>
          <w:ilvl w:val="0"/>
          <w:numId w:val="2"/>
        </w:numPr>
        <w:spacing w:after="60" w:before="60" w:line="280"/>
      </w:pPr>
      <w:r>
        <w:rPr>
          <w:rFonts w:ascii="Calibri" w:cs="Calibri" w:eastAsia="Calibri" w:hAnsi="Calibri"/>
          <w:sz w:val="22"/>
          <w:szCs w:val="22"/>
        </w:rPr>
        <w:t xml:space="preserve">Section 6 — The Federation Model (roles and ownership)</w:t>
      </w:r>
    </w:p>
    <w:p>
      <w:pPr>
        <w:pStyle w:val="ListParagraph"/>
        <w:numPr>
          <w:ilvl w:val="0"/>
          <w:numId w:val="2"/>
        </w:numPr>
        <w:spacing w:after="60" w:before="60" w:line="280"/>
      </w:pPr>
      <w:r>
        <w:rPr>
          <w:rFonts w:ascii="Calibri" w:cs="Calibri" w:eastAsia="Calibri" w:hAnsi="Calibri"/>
          <w:sz w:val="22"/>
          <w:szCs w:val="22"/>
        </w:rPr>
        <w:t xml:space="preserve">Section 7 — Terminology (core terms, Risk terms, aliases)</w:t>
      </w:r>
    </w:p>
    <w:p>
      <w:pPr>
        <w:pStyle w:val="ListParagraph"/>
        <w:numPr>
          <w:ilvl w:val="0"/>
          <w:numId w:val="2"/>
        </w:numPr>
        <w:spacing w:after="60" w:before="60" w:line="280"/>
      </w:pPr>
      <w:r>
        <w:rPr>
          <w:rFonts w:ascii="Calibri" w:cs="Calibri" w:eastAsia="Calibri" w:hAnsi="Calibri"/>
          <w:sz w:val="22"/>
          <w:szCs w:val="22"/>
        </w:rPr>
        <w:t xml:space="preserve">Section 8 — Principles and Patterns</w:t>
      </w:r>
    </w:p>
    <w:p>
      <w:pPr>
        <w:pStyle w:val="ListParagraph"/>
        <w:numPr>
          <w:ilvl w:val="0"/>
          <w:numId w:val="2"/>
        </w:numPr>
        <w:spacing w:after="60" w:before="60" w:line="280"/>
      </w:pPr>
      <w:r>
        <w:rPr>
          <w:rFonts w:ascii="Calibri" w:cs="Calibri" w:eastAsia="Calibri" w:hAnsi="Calibri"/>
          <w:sz w:val="22"/>
          <w:szCs w:val="22"/>
        </w:rPr>
        <w:t xml:space="preserve">Section 9 — Current State of In-Flight Work</w:t>
      </w:r>
    </w:p>
    <w:p>
      <w:pPr>
        <w:pStyle w:val="ListParagraph"/>
        <w:numPr>
          <w:ilvl w:val="0"/>
          <w:numId w:val="2"/>
        </w:numPr>
        <w:spacing w:after="60" w:before="60" w:line="280"/>
      </w:pPr>
      <w:r>
        <w:rPr>
          <w:rFonts w:ascii="Calibri" w:cs="Calibri" w:eastAsia="Calibri" w:hAnsi="Calibri"/>
          <w:sz w:val="22"/>
          <w:szCs w:val="22"/>
        </w:rPr>
        <w:t xml:space="preserve">Section 10 — How to Help Reena Effectively</w:t>
      </w:r>
    </w:p>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Section 1 — How to Work with Reena</w:t>
      </w:r>
    </w:p>
    <w:p>
      <w:pPr>
        <w:pBdr>
          <w:left w:val="single" w:color="B0B0B0" w:sz="18" w:space="12"/>
        </w:pBdr>
        <w:spacing w:after="200" w:before="100" w:line="300"/>
        <w:ind w:left="200"/>
      </w:pPr>
      <w:r>
        <w:rPr>
          <w:rFonts w:ascii="Calibri" w:cs="Calibri" w:eastAsia="Calibri" w:hAnsi="Calibri"/>
          <w:i/>
          <w:iCs/>
          <w:color w:val="555555"/>
          <w:sz w:val="22"/>
          <w:szCs w:val="22"/>
        </w:rPr>
        <w:t xml:space="preserve">Section 0 above gave the operating instructions. This section adds context on Reena and how she prefers to work.</w:t>
      </w:r>
    </w:p>
    <w:p>
      <w:pPr>
        <w:pStyle w:val="Heading2"/>
        <w:spacing w:after="160" w:before="320"/>
      </w:pPr>
      <w:r>
        <w:rPr>
          <w:rFonts w:ascii="Calibri" w:cs="Calibri" w:eastAsia="Calibri" w:hAnsi="Calibri"/>
          <w:b/>
          <w:bCs/>
          <w:color w:val="2F5496"/>
          <w:sz w:val="28"/>
          <w:szCs w:val="28"/>
        </w:rPr>
        <w:t xml:space="preserve">How to use this document</w:t>
      </w:r>
    </w:p>
    <w:p>
      <w:pPr>
        <w:spacing w:after="100" w:before="100" w:line="300"/>
      </w:pPr>
      <w:r>
        <w:rPr>
          <w:rFonts w:ascii="Calibri" w:cs="Calibri" w:eastAsia="Calibri" w:hAnsi="Calibri"/>
          <w:sz w:val="22"/>
          <w:szCs w:val="22"/>
        </w:rPr>
        <w:t xml:space="preserve">This is a living context document. It captures the Risk landscape, the application portfolio, the Databricks architecture, the federation model, the data product hierarchy, terminology, principles, and the current state of in-flight work. It is written for an AI assistant to internalise quickly.</w:t>
      </w:r>
    </w:p>
    <w:p>
      <w:pPr>
        <w:spacing w:after="100" w:before="100" w:line="300"/>
      </w:pPr>
      <w:r>
        <w:rPr>
          <w:rFonts w:ascii="Calibri" w:cs="Calibri" w:eastAsia="Calibri" w:hAnsi="Calibri"/>
          <w:sz w:val="22"/>
          <w:szCs w:val="22"/>
        </w:rPr>
        <w:t xml:space="preserve">When starting a new chat:</w:t>
      </w:r>
    </w:p>
    <w:p>
      <w:pPr>
        <w:pStyle w:val="ListParagraph"/>
        <w:numPr>
          <w:ilvl w:val="0"/>
          <w:numId w:val="2"/>
        </w:numPr>
        <w:spacing w:after="60" w:before="60" w:line="280"/>
      </w:pPr>
      <w:r>
        <w:rPr>
          <w:rFonts w:ascii="Calibri" w:cs="Calibri" w:eastAsia="Calibri" w:hAnsi="Calibri"/>
          <w:sz w:val="22"/>
          <w:szCs w:val="22"/>
        </w:rPr>
        <w:t xml:space="preserve">Upload this document as the first attachment.</w:t>
      </w:r>
    </w:p>
    <w:p>
      <w:pPr>
        <w:pStyle w:val="ListParagraph"/>
        <w:numPr>
          <w:ilvl w:val="0"/>
          <w:numId w:val="2"/>
        </w:numPr>
        <w:spacing w:after="60" w:before="60" w:line="280"/>
      </w:pPr>
      <w:r>
        <w:rPr>
          <w:rFonts w:ascii="Calibri" w:cs="Calibri" w:eastAsia="Calibri" w:hAnsi="Calibri"/>
          <w:sz w:val="22"/>
          <w:szCs w:val="22"/>
        </w:rPr>
        <w:t xml:space="preserve">Tell the assistant what you want to work on (e.g. "build a deck for the Friday review", "write a Confluence page on data contracts", "draft an email to the PG Leaders").</w:t>
      </w:r>
    </w:p>
    <w:p>
      <w:pPr>
        <w:pStyle w:val="ListParagraph"/>
        <w:numPr>
          <w:ilvl w:val="0"/>
          <w:numId w:val="2"/>
        </w:numPr>
        <w:spacing w:after="60" w:before="60" w:line="280"/>
      </w:pPr>
      <w:r>
        <w:rPr>
          <w:rFonts w:ascii="Calibri" w:cs="Calibri" w:eastAsia="Calibri" w:hAnsi="Calibri"/>
          <w:sz w:val="22"/>
          <w:szCs w:val="22"/>
        </w:rPr>
        <w:t xml:space="preserve">The assistant should ground itself in this document before asking clarifying questions.</w:t>
      </w:r>
    </w:p>
    <w:p>
      <w:pPr>
        <w:pStyle w:val="Heading2"/>
        <w:spacing w:after="160" w:before="320"/>
      </w:pPr>
      <w:r>
        <w:rPr>
          <w:rFonts w:ascii="Calibri" w:cs="Calibri" w:eastAsia="Calibri" w:hAnsi="Calibri"/>
          <w:b/>
          <w:bCs/>
          <w:color w:val="2F5496"/>
          <w:sz w:val="28"/>
          <w:szCs w:val="28"/>
        </w:rPr>
        <w:t xml:space="preserve">Voice and tone preferences</w:t>
      </w:r>
    </w:p>
    <w:p>
      <w:pPr>
        <w:pStyle w:val="ListParagraph"/>
        <w:numPr>
          <w:ilvl w:val="0"/>
          <w:numId w:val="2"/>
        </w:numPr>
        <w:spacing w:after="60" w:before="60" w:line="280"/>
      </w:pPr>
      <w:r>
        <w:rPr>
          <w:rFonts w:ascii="Calibri" w:cs="Calibri" w:eastAsia="Calibri" w:hAnsi="Calibri"/>
          <w:sz w:val="22"/>
          <w:szCs w:val="22"/>
        </w:rPr>
        <w:t xml:space="preserve">Plain industry-standard language. No teaching voice, no preaching, no consulting jargon.</w:t>
      </w:r>
    </w:p>
    <w:p>
      <w:pPr>
        <w:pStyle w:val="ListParagraph"/>
        <w:numPr>
          <w:ilvl w:val="0"/>
          <w:numId w:val="2"/>
        </w:numPr>
        <w:spacing w:after="60" w:before="60" w:line="280"/>
      </w:pPr>
      <w:r>
        <w:rPr>
          <w:rFonts w:ascii="Calibri" w:cs="Calibri" w:eastAsia="Calibri" w:hAnsi="Calibri"/>
          <w:sz w:val="22"/>
          <w:szCs w:val="22"/>
        </w:rPr>
        <w:t xml:space="preserve">Define every technical term the first time it appears. The audience often includes app teams with no data-modelling background.</w:t>
      </w:r>
    </w:p>
    <w:p>
      <w:pPr>
        <w:pStyle w:val="ListParagraph"/>
        <w:numPr>
          <w:ilvl w:val="0"/>
          <w:numId w:val="2"/>
        </w:numPr>
        <w:spacing w:after="60" w:before="60" w:line="280"/>
      </w:pPr>
      <w:r>
        <w:rPr>
          <w:rFonts w:ascii="Calibri" w:cs="Calibri" w:eastAsia="Calibri" w:hAnsi="Calibri"/>
          <w:sz w:val="22"/>
          <w:szCs w:val="22"/>
        </w:rPr>
        <w:t xml:space="preserve">Active voice, present tense. Short declarative sentences.</w:t>
      </w:r>
    </w:p>
    <w:p>
      <w:pPr>
        <w:pStyle w:val="ListParagraph"/>
        <w:numPr>
          <w:ilvl w:val="0"/>
          <w:numId w:val="2"/>
        </w:numPr>
        <w:spacing w:after="60" w:before="60" w:line="280"/>
      </w:pPr>
      <w:r>
        <w:rPr>
          <w:rFonts w:ascii="Calibri" w:cs="Calibri" w:eastAsia="Calibri" w:hAnsi="Calibri"/>
          <w:sz w:val="22"/>
          <w:szCs w:val="22"/>
        </w:rPr>
        <w:t xml:space="preserve">Lead with what changes for the user, not what is wrong with the system.</w:t>
      </w:r>
    </w:p>
    <w:p>
      <w:pPr>
        <w:pStyle w:val="ListParagraph"/>
        <w:numPr>
          <w:ilvl w:val="0"/>
          <w:numId w:val="2"/>
        </w:numPr>
        <w:spacing w:after="60" w:before="60" w:line="280"/>
      </w:pPr>
      <w:r>
        <w:rPr>
          <w:rFonts w:ascii="Calibri" w:cs="Calibri" w:eastAsia="Calibri" w:hAnsi="Calibri"/>
          <w:sz w:val="22"/>
          <w:szCs w:val="22"/>
        </w:rPr>
        <w:t xml:space="preserve">Concrete over abstract. Name applications, name catalogs, name dimensions.</w:t>
      </w:r>
    </w:p>
    <w:p>
      <w:pPr>
        <w:pStyle w:val="ListParagraph"/>
        <w:numPr>
          <w:ilvl w:val="0"/>
          <w:numId w:val="2"/>
        </w:numPr>
        <w:spacing w:after="60" w:before="60" w:line="280"/>
      </w:pPr>
      <w:r>
        <w:rPr>
          <w:rFonts w:ascii="Calibri" w:cs="Calibri" w:eastAsia="Calibri" w:hAnsi="Calibri"/>
          <w:sz w:val="22"/>
          <w:szCs w:val="22"/>
        </w:rPr>
        <w:t xml:space="preserve">Push back honestly. If something is unclear or contradictory, ask. Don't assume.</w:t>
      </w:r>
    </w:p>
    <w:p>
      <w:pPr>
        <w:pStyle w:val="ListParagraph"/>
        <w:numPr>
          <w:ilvl w:val="0"/>
          <w:numId w:val="2"/>
        </w:numPr>
        <w:spacing w:after="60" w:before="60" w:line="280"/>
      </w:pPr>
      <w:r>
        <w:rPr>
          <w:rFonts w:ascii="Calibri" w:cs="Calibri" w:eastAsia="Calibri" w:hAnsi="Calibri"/>
          <w:sz w:val="22"/>
          <w:szCs w:val="22"/>
        </w:rPr>
        <w:t xml:space="preserve">Show working before building artifacts. Confirm understanding of intent, structure, and constraints before generating documents, slides, or code.</w:t>
      </w:r>
    </w:p>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The Risk Domain at TDS</w:t>
      </w:r>
    </w:p>
    <w:p>
      <w:pPr>
        <w:pStyle w:val="Heading2"/>
        <w:spacing w:after="160" w:before="320"/>
      </w:pPr>
      <w:r>
        <w:rPr>
          <w:rFonts w:ascii="Calibri" w:cs="Calibri" w:eastAsia="Calibri" w:hAnsi="Calibri"/>
          <w:b/>
          <w:bCs/>
          <w:color w:val="2F5496"/>
          <w:sz w:val="28"/>
          <w:szCs w:val="28"/>
        </w:rPr>
        <w:t xml:space="preserve">Where Risk sits in the enterprise</w:t>
      </w:r>
    </w:p>
    <w:p>
      <w:pPr>
        <w:spacing w:after="100" w:before="100" w:line="300"/>
      </w:pPr>
      <w:r>
        <w:rPr>
          <w:rFonts w:ascii="Calibri" w:cs="Calibri" w:eastAsia="Calibri" w:hAnsi="Calibri"/>
          <w:sz w:val="22"/>
          <w:szCs w:val="22"/>
        </w:rPr>
        <w:t xml:space="preserve">TDS uses an enterprise Canonical Data Model (CDM) that organises trading and securities data into twelve domains in a defined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rPr>
          <w:tblHeader/>
        </w:trPr>
        <w:tc>
          <w:tcPr>
            <w:tcW w:type="dxa" w:w="72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t>
            </w:r>
          </w:p>
        </w:tc>
        <w:tc>
          <w:tcPr>
            <w:tcW w:type="dxa" w:w="324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w:t>
            </w:r>
          </w:p>
        </w:tc>
        <w:tc>
          <w:tcPr>
            <w:tcW w:type="dxa" w:w="54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Notes</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1</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Pre-Trade</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Cash, OTC Derivs, Listed Derivs</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2</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Post-Trade</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Cash, OTC Derivs, Listed Derivs</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3</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Position</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Position, Cash Balances</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4</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Payments</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Payments</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5</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Derived Data and Metrics</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 OWNS THIS DOMAIN. Risk Sensitivities / Portfolio Metrics (VaR, xVA), Valuations (MTM), Projected Cash Flows, Collateral, PnL.</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6</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Transactions</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Margin, Deals, Fees, Loans, Deposits</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7</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GL</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Nostro / Vostro</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8</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Reference and Master Data</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Facilities, Party and Account, Coverage, Inventory Hierarchy, Trading Agreements</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9</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Product / Instrument</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Product, Instruments, Basket Composition</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10</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3rd Party Market Data</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Pricing, Corporate Actions, Other Market Data</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11</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Internal Pricing Data</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Pricing, Other Internal Data</w:t>
            </w:r>
          </w:p>
        </w:tc>
      </w:tr>
      <w:tr>
        <w:tc>
          <w:tcPr>
            <w:tcW w:type="dxa" w:w="7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12</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Research</w:t>
            </w:r>
          </w:p>
        </w:tc>
        <w:tc>
          <w:tcPr>
            <w:tcW w:type="dxa" w:w="54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Research</w:t>
            </w:r>
          </w:p>
        </w:tc>
      </w:tr>
    </w:tbl>
    <w:p>
      <w:pPr>
        <w:spacing w:after="100" w:before="100" w:line="300"/>
      </w:pPr>
      <w:r>
        <w:rPr>
          <w:rFonts w:ascii="Calibri" w:cs="Calibri" w:eastAsia="Calibri" w:hAnsi="Calibri"/>
          <w:sz w:val="22"/>
          <w:szCs w:val="22"/>
        </w:rPr>
        <w:t xml:space="preserve">Risk produces Domain #5 — Derived Data and Metrics. The other eleven domains are upstream of Risk, and Risk consumes from them. The Risk Domain Model that Risk Data is building is Risk's contribution back to the enterprise CDM for Domain #5.</w:t>
      </w:r>
    </w:p>
    <w:p>
      <w:pPr>
        <w:pStyle w:val="Heading2"/>
        <w:spacing w:after="160" w:before="320"/>
      </w:pPr>
      <w:r>
        <w:rPr>
          <w:rFonts w:ascii="Calibri" w:cs="Calibri" w:eastAsia="Calibri" w:hAnsi="Calibri"/>
          <w:b/>
          <w:bCs/>
          <w:color w:val="2F5496"/>
          <w:sz w:val="28"/>
          <w:szCs w:val="28"/>
        </w:rPr>
        <w:t xml:space="preserve">The four Risk Product Groups</w:t>
      </w:r>
    </w:p>
    <w:p>
      <w:pPr>
        <w:spacing w:after="100" w:before="100" w:line="300"/>
      </w:pPr>
      <w:r>
        <w:rPr>
          <w:rFonts w:ascii="Calibri" w:cs="Calibri" w:eastAsia="Calibri" w:hAnsi="Calibri"/>
          <w:sz w:val="22"/>
          <w:szCs w:val="22"/>
        </w:rPr>
        <w:t xml:space="preserve">Risk is organised into four Product Groups (PGs). Each PG contains a set of related applications. Each PG maps to a Databricks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060"/>
        <w:gridCol w:w="3060"/>
      </w:tblGrid>
      <w:tr>
        <w:trPr>
          <w:tblHeader/>
        </w:trPr>
        <w:tc>
          <w:tcPr>
            <w:tcW w:type="dxa" w:w="18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Product Group</w:t>
            </w:r>
          </w:p>
        </w:tc>
        <w:tc>
          <w:tcPr>
            <w:tcW w:type="dxa" w:w="144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Catalog</w:t>
            </w:r>
          </w:p>
        </w:tc>
        <w:tc>
          <w:tcPr>
            <w:tcW w:type="dxa" w:w="30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 Focus</w:t>
            </w:r>
          </w:p>
        </w:tc>
        <w:tc>
          <w:tcPr>
            <w:tcW w:type="dxa" w:w="30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Key Apps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Credit Risk</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creditrisk</w:t>
            </w:r>
          </w:p>
        </w:tc>
        <w:tc>
          <w:tcPr>
            <w:tcW w:type="dxa" w:w="30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Counterparty exposure, XVA, collateral, regulatory documents</w:t>
            </w:r>
          </w:p>
        </w:tc>
        <w:tc>
          <w:tcPr>
            <w:tcW w:type="dxa" w:w="30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XVALA, CMOS, CRS, TCC, REGDS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Market Risk</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marketrisk</w:t>
            </w:r>
          </w:p>
        </w:tc>
        <w:tc>
          <w:tcPr>
            <w:tcW w:type="dxa" w:w="30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Sensitivities, VaR, valuations, intraday P&amp;L attribution</w:t>
            </w:r>
          </w:p>
        </w:tc>
        <w:tc>
          <w:tcPr>
            <w:tcW w:type="dxa" w:w="30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RCAPS/VS, RCS, RAMS, SRLM</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Liquidity</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liquidity</w:t>
            </w:r>
          </w:p>
        </w:tc>
        <w:tc>
          <w:tcPr>
            <w:tcW w:type="dxa" w:w="30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Liquidity coverage, funding, FR2052a, stress</w:t>
            </w:r>
          </w:p>
        </w:tc>
        <w:tc>
          <w:tcPr>
            <w:tcW w:type="dxa" w:w="30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ALFA, LAMP, TBLS, SRLM, Viper</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Finance</w:t>
            </w:r>
          </w:p>
        </w:tc>
        <w:tc>
          <w:tcPr>
            <w:tcW w:type="dxa" w:w="14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finance</w:t>
            </w:r>
          </w:p>
        </w:tc>
        <w:tc>
          <w:tcPr>
            <w:tcW w:type="dxa" w:w="30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P&amp;L consolidation, breach workflow, regulatory submission</w:t>
            </w:r>
          </w:p>
        </w:tc>
        <w:tc>
          <w:tcPr>
            <w:tcW w:type="dxa" w:w="30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INF (Infinity), TRW, Axiom</w:t>
            </w:r>
          </w:p>
        </w:tc>
      </w:tr>
    </w:tbl>
    <w:p>
      <w:pPr>
        <w:pStyle w:val="Heading2"/>
        <w:spacing w:after="160" w:before="320"/>
      </w:pPr>
      <w:r>
        <w:rPr>
          <w:rFonts w:ascii="Calibri" w:cs="Calibri" w:eastAsia="Calibri" w:hAnsi="Calibri"/>
          <w:b/>
          <w:bCs/>
          <w:color w:val="2F5496"/>
          <w:sz w:val="28"/>
          <w:szCs w:val="28"/>
        </w:rPr>
        <w:t xml:space="preserve">The Risk Data Warehouse (riskwh)</w:t>
      </w:r>
    </w:p>
    <w:p>
      <w:pPr>
        <w:spacing w:after="100" w:before="100" w:line="300"/>
      </w:pPr>
      <w:r>
        <w:rPr>
          <w:rFonts w:ascii="Calibri" w:cs="Calibri" w:eastAsia="Calibri" w:hAnsi="Calibri"/>
          <w:sz w:val="22"/>
          <w:szCs w:val="22"/>
        </w:rPr>
        <w:t xml:space="preserve">In addition to the four PG catalogs, Risk Data is establishing riskwh — the Risk Warehouse catalog — as the single point of consumption for analytics. riskwh sits above the four PG catalogs, contains the Product Group conformed models, the Risk Domain Model, curated cross-PG data products, the semantic layer, and a sandbox. Owned by DD.</w:t>
      </w:r>
    </w:p>
    <w:p>
      <w:pPr>
        <w:pStyle w:val="Heading2"/>
        <w:spacing w:after="160" w:before="320"/>
      </w:pPr>
      <w:r>
        <w:rPr>
          <w:rFonts w:ascii="Calibri" w:cs="Calibri" w:eastAsia="Calibri" w:hAnsi="Calibri"/>
          <w:b/>
          <w:bCs/>
          <w:color w:val="2F5496"/>
          <w:sz w:val="28"/>
          <w:szCs w:val="28"/>
        </w:rPr>
        <w:t xml:space="preserve">Who consumes Risk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Consumer</w:t>
            </w:r>
          </w:p>
        </w:tc>
        <w:tc>
          <w:tcPr>
            <w:tcW w:type="dxa" w:w="612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they need</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CMRM (Credit Market Risk Managers)</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Reads EOD reports from Risk apps to reconcile booked trades, manage credit limits, and follow up on breaches.</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CRA (Credit Risk Analysts)</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Validates counterparty exposure reports from TCC, distributes to GMC, manages the breach workflow (today still partly manual).</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GMC (Global Markets Counterparty / Credit Officers)</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Acts on counterparty breaches, reviews and approves limit changes, escalates to senior management.</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Regulators (Fed, OSFI, etc.)</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Receives FR2052a, Basel SA-CCR, BCBS 239 reports through Axiom and other submission channels.</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Front Office, Quants, FO Ops</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Consume risk metrics for P&amp;L attribution, capital optimisation, and trading decisions.</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Model Risk</w:t>
            </w:r>
          </w:p>
        </w:tc>
        <w:tc>
          <w:tcPr>
            <w:tcW w:type="dxa" w:w="61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Validates risk metrics for use as model inputs.</w:t>
            </w:r>
          </w:p>
        </w:tc>
      </w:tr>
    </w:tbl>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The Risk Application Landscape</w:t>
      </w:r>
    </w:p>
    <w:p>
      <w:pPr>
        <w:pBdr>
          <w:left w:val="single" w:color="B0B0B0" w:sz="18" w:space="12"/>
        </w:pBdr>
        <w:spacing w:after="200" w:before="100" w:line="300"/>
        <w:ind w:left="200"/>
      </w:pPr>
      <w:r>
        <w:rPr>
          <w:rFonts w:ascii="Calibri" w:cs="Calibri" w:eastAsia="Calibri" w:hAnsi="Calibri"/>
          <w:i/>
          <w:iCs/>
          <w:color w:val="555555"/>
          <w:sz w:val="22"/>
          <w:szCs w:val="22"/>
        </w:rPr>
        <w:t xml:space="preserve">The applications listed below are the core Risk apps. Each runs OUTSIDE Databricks, with its own internal database, processing engine, and calculation logic. Applications interact with Databricks by landing their generated data into a malcode-specific schema and (in some cases) reading conformed data back from Databricks.</w:t>
      </w:r>
    </w:p>
    <w:p>
      <w:pPr>
        <w:pStyle w:val="Heading2"/>
        <w:spacing w:after="160" w:before="320"/>
      </w:pPr>
      <w:r>
        <w:rPr>
          <w:rFonts w:ascii="Calibri" w:cs="Calibri" w:eastAsia="Calibri" w:hAnsi="Calibri"/>
          <w:b/>
          <w:bCs/>
          <w:color w:val="2F5496"/>
          <w:sz w:val="28"/>
          <w:szCs w:val="28"/>
        </w:rPr>
        <w:t xml:space="preserve">Credit Risk applications</w:t>
      </w:r>
    </w:p>
    <w:p>
      <w:pPr>
        <w:pStyle w:val="Heading3"/>
        <w:spacing w:after="140" w:before="240"/>
      </w:pPr>
      <w:r>
        <w:rPr>
          <w:rFonts w:ascii="Calibri" w:cs="Calibri" w:eastAsia="Calibri" w:hAnsi="Calibri"/>
          <w:b/>
          <w:bCs/>
          <w:sz w:val="24"/>
          <w:szCs w:val="24"/>
        </w:rPr>
        <w:t xml:space="preserve">CMOS (malcode = CMOS, internal name = Colline)</w:t>
      </w:r>
    </w:p>
    <w:p>
      <w:pPr>
        <w:spacing w:after="100" w:before="100" w:line="300"/>
      </w:pPr>
      <w:r>
        <w:rPr>
          <w:rFonts w:ascii="Calibri" w:cs="Calibri" w:eastAsia="Calibri" w:hAnsi="Calibri"/>
          <w:sz w:val="22"/>
          <w:szCs w:val="22"/>
        </w:rPr>
        <w:t xml:space="preserve">The collateral management engine. Integrates trade and position data into CDM-shaped JSON. Receives Base NPV from RCAPS / VS for VM margin calls. Posts collateral positions to RDS. Feeds XVALA with collateral data via RDS for CVA calculation. FIST confirms IM data flows from CMOS to CRS via TIBCO.</w:t>
      </w:r>
    </w:p>
    <w:p>
      <w:pPr>
        <w:pStyle w:val="Heading3"/>
        <w:spacing w:after="140" w:before="240"/>
      </w:pPr>
      <w:r>
        <w:rPr>
          <w:rFonts w:ascii="Calibri" w:cs="Calibri" w:eastAsia="Calibri" w:hAnsi="Calibri"/>
          <w:b/>
          <w:bCs/>
          <w:sz w:val="24"/>
          <w:szCs w:val="24"/>
        </w:rPr>
        <w:t xml:space="preserve">CRS / SCREAM</w:t>
      </w:r>
    </w:p>
    <w:p>
      <w:pPr>
        <w:spacing w:after="100" w:before="100" w:line="300"/>
      </w:pPr>
      <w:r>
        <w:rPr>
          <w:rFonts w:ascii="Calibri" w:cs="Calibri" w:eastAsia="Calibri" w:hAnsi="Calibri"/>
          <w:sz w:val="22"/>
          <w:szCs w:val="22"/>
        </w:rPr>
        <w:t xml:space="preserve">Legacy counterparty credit risk engine using historical simulation. Consumes ~10 OMS systems (Calypso, Murex, Sophis, Darwin, etc.), CAIRO, PETR, TAMS. Produces credit hierarchy (counterparty → parent entity rollup), book hierarchy, netting set definitions. Distributes reference data via a Reference Data Service. Being progressively replaced by XVALA — both still run in parallel for products that have not migrated.</w:t>
      </w:r>
    </w:p>
    <w:p>
      <w:pPr>
        <w:pStyle w:val="Heading3"/>
        <w:spacing w:after="140" w:before="240"/>
      </w:pPr>
      <w:r>
        <w:rPr>
          <w:rFonts w:ascii="Calibri" w:cs="Calibri" w:eastAsia="Calibri" w:hAnsi="Calibri"/>
          <w:b/>
          <w:bCs/>
          <w:sz w:val="24"/>
          <w:szCs w:val="24"/>
        </w:rPr>
        <w:t xml:space="preserve">XVALA (Phoenix)</w:t>
      </w:r>
    </w:p>
    <w:p>
      <w:pPr>
        <w:spacing w:after="100" w:before="100" w:line="300"/>
      </w:pPr>
      <w:r>
        <w:rPr>
          <w:rFonts w:ascii="Calibri" w:cs="Calibri" w:eastAsia="Calibri" w:hAnsi="Calibri"/>
          <w:sz w:val="22"/>
          <w:szCs w:val="22"/>
        </w:rPr>
        <w:t xml:space="preserve">Modern XVA / counterparty credit risk engine. Runs Monte Carlo simulation to produce CVA, DVA, FVA, KVA, MVA, PFE, EPE, and SA-CCR EAD. Consumes trade structures from TMS, Base NPV from HBase as the T=0 anchor, collateral from CMOS via RDS, netting sets from TAMS, credit hierarchy from CRS, curves from DMDS. Feeds RAMS, TRW, SRLM, INF (bidirectional), and ALFA (with IM/VM projections for cash flow forecasting).</w:t>
      </w:r>
    </w:p>
    <w:p>
      <w:pPr>
        <w:pStyle w:val="Heading3"/>
        <w:spacing w:after="140" w:before="240"/>
      </w:pPr>
      <w:r>
        <w:rPr>
          <w:rFonts w:ascii="Calibri" w:cs="Calibri" w:eastAsia="Calibri" w:hAnsi="Calibri"/>
          <w:b/>
          <w:bCs/>
          <w:sz w:val="24"/>
          <w:szCs w:val="24"/>
        </w:rPr>
        <w:t xml:space="preserve">TCC (Trade Compliance / Credit Concentration)</w:t>
      </w:r>
    </w:p>
    <w:p>
      <w:pPr>
        <w:spacing w:after="100" w:before="100" w:line="300"/>
      </w:pPr>
      <w:r>
        <w:rPr>
          <w:rFonts w:ascii="Calibri" w:cs="Calibri" w:eastAsia="Calibri" w:hAnsi="Calibri"/>
          <w:sz w:val="22"/>
          <w:szCs w:val="22"/>
        </w:rPr>
        <w:t xml:space="preserve">The reporting layer on top of CRS and XVALA. Aggregates trade and counterparty data into the credit exposure view. Produces counterparty reports, netting set reports, credit facility utilisation, and breach exception reports. Today's credit breach workflow runs partly through TCC reports → CRA → GMC manually. Future state: TCC feeds Infinity for the full automated breach workflow.</w:t>
      </w:r>
    </w:p>
    <w:p>
      <w:pPr>
        <w:pStyle w:val="Heading3"/>
        <w:spacing w:after="140" w:before="240"/>
      </w:pPr>
      <w:r>
        <w:rPr>
          <w:rFonts w:ascii="Calibri" w:cs="Calibri" w:eastAsia="Calibri" w:hAnsi="Calibri"/>
          <w:b/>
          <w:bCs/>
          <w:sz w:val="24"/>
          <w:szCs w:val="24"/>
        </w:rPr>
        <w:t xml:space="preserve">REGDS (TAMS)</w:t>
      </w:r>
    </w:p>
    <w:p>
      <w:pPr>
        <w:spacing w:after="100" w:before="100" w:line="300"/>
      </w:pPr>
      <w:r>
        <w:rPr>
          <w:rFonts w:ascii="Calibri" w:cs="Calibri" w:eastAsia="Calibri" w:hAnsi="Calibri"/>
          <w:sz w:val="22"/>
          <w:szCs w:val="22"/>
        </w:rPr>
        <w:t xml:space="preserve">Parses ISDA, CSA, GMRA, and GMSLA legal documents (Trade Agreement Management). Fed by eClerx. Distributes agreement data — netting set definitions, collateral terms, threshold values — to CMOS, CRS, ALFA, RCAPS, RCS.</w:t>
      </w:r>
    </w:p>
    <w:p>
      <w:pPr>
        <w:pStyle w:val="Heading2"/>
        <w:spacing w:after="160" w:before="320"/>
      </w:pPr>
      <w:r>
        <w:rPr>
          <w:rFonts w:ascii="Calibri" w:cs="Calibri" w:eastAsia="Calibri" w:hAnsi="Calibri"/>
          <w:b/>
          <w:bCs/>
          <w:color w:val="2F5496"/>
          <w:sz w:val="28"/>
          <w:szCs w:val="28"/>
        </w:rPr>
        <w:t xml:space="preserve">Market Risk applications</w:t>
      </w:r>
    </w:p>
    <w:p>
      <w:pPr>
        <w:pStyle w:val="Heading3"/>
        <w:spacing w:after="140" w:before="240"/>
      </w:pPr>
      <w:r>
        <w:rPr>
          <w:rFonts w:ascii="Calibri" w:cs="Calibri" w:eastAsia="Calibri" w:hAnsi="Calibri"/>
          <w:b/>
          <w:bCs/>
          <w:sz w:val="24"/>
          <w:szCs w:val="24"/>
        </w:rPr>
        <w:t xml:space="preserve">RCAPS / VS (Valuation Service)</w:t>
      </w:r>
    </w:p>
    <w:p>
      <w:pPr>
        <w:spacing w:after="100" w:before="100" w:line="300"/>
      </w:pPr>
      <w:r>
        <w:rPr>
          <w:rFonts w:ascii="Calibri" w:cs="Calibri" w:eastAsia="Calibri" w:hAnsi="Calibri"/>
          <w:sz w:val="22"/>
          <w:szCs w:val="22"/>
        </w:rPr>
        <w:t xml:space="preserve">The central trade valuation engine. Builds trade objects from all source systems into a consolidated Berkeley DB. Invokes Quantum pricing libraries. Stores priced trade scenarios in HBase for downstream consumption. RCAPS produces clean MTM (assuming no counterparty default) — XVALA layers credit-risk adjustments on top.</w:t>
      </w:r>
    </w:p>
    <w:p>
      <w:pPr>
        <w:pStyle w:val="Heading3"/>
        <w:spacing w:after="140" w:before="240"/>
      </w:pPr>
      <w:r>
        <w:rPr>
          <w:rFonts w:ascii="Calibri" w:cs="Calibri" w:eastAsia="Calibri" w:hAnsi="Calibri"/>
          <w:b/>
          <w:bCs/>
          <w:sz w:val="24"/>
          <w:szCs w:val="24"/>
        </w:rPr>
        <w:t xml:space="preserve">RCS (Risk Calculation Service)</w:t>
      </w:r>
    </w:p>
    <w:p>
      <w:pPr>
        <w:spacing w:after="100" w:before="100" w:line="300"/>
      </w:pPr>
      <w:r>
        <w:rPr>
          <w:rFonts w:ascii="Calibri" w:cs="Calibri" w:eastAsia="Calibri" w:hAnsi="Calibri"/>
          <w:sz w:val="22"/>
          <w:szCs w:val="22"/>
        </w:rPr>
        <w:t xml:space="preserve">The market-risk sensitivity and risk-metric engine. Consumes priced trade objects from HBase. Computes Greeks (Delta / DV01, Gamma, Vega, Theta, Rho, CS01), VaR, Stressed VaR. Sensitivities feed three downstream uses: SIMM (for Initial Margin via Colline), VaR (market risk capital), and SVaR (stressed capital).</w:t>
      </w:r>
    </w:p>
    <w:p>
      <w:pPr>
        <w:pStyle w:val="Heading3"/>
        <w:spacing w:after="140" w:before="240"/>
      </w:pPr>
      <w:r>
        <w:rPr>
          <w:rFonts w:ascii="Calibri" w:cs="Calibri" w:eastAsia="Calibri" w:hAnsi="Calibri"/>
          <w:b/>
          <w:bCs/>
          <w:sz w:val="24"/>
          <w:szCs w:val="24"/>
        </w:rPr>
        <w:t xml:space="preserve">RAMS (Risk Analytics &amp; Market Risk System)</w:t>
      </w:r>
    </w:p>
    <w:p>
      <w:pPr>
        <w:spacing w:after="100" w:before="100" w:line="300"/>
      </w:pPr>
      <w:r>
        <w:rPr>
          <w:rFonts w:ascii="Calibri" w:cs="Calibri" w:eastAsia="Calibri" w:hAnsi="Calibri"/>
          <w:sz w:val="22"/>
          <w:szCs w:val="22"/>
        </w:rPr>
        <w:t xml:space="preserve">Intraday VaR, P&amp;L attribution, scenario analysis. Consumes from RCS and XVALA.</w:t>
      </w:r>
    </w:p>
    <w:p>
      <w:pPr>
        <w:pStyle w:val="Heading3"/>
        <w:spacing w:after="140" w:before="240"/>
      </w:pPr>
      <w:r>
        <w:rPr>
          <w:rFonts w:ascii="Calibri" w:cs="Calibri" w:eastAsia="Calibri" w:hAnsi="Calibri"/>
          <w:b/>
          <w:bCs/>
          <w:sz w:val="24"/>
          <w:szCs w:val="24"/>
        </w:rPr>
        <w:t xml:space="preserve">SRLM (Stress and Regulatory Liquidity Metrics, also called Market Risk Insight)</w:t>
      </w:r>
    </w:p>
    <w:p>
      <w:pPr>
        <w:spacing w:after="100" w:before="100" w:line="300"/>
      </w:pPr>
      <w:r>
        <w:rPr>
          <w:rFonts w:ascii="Calibri" w:cs="Calibri" w:eastAsia="Calibri" w:hAnsi="Calibri"/>
          <w:sz w:val="22"/>
          <w:szCs w:val="22"/>
        </w:rPr>
        <w:t xml:space="preserve">Stress testing for market risk. Receives breaches from RCS and feeds Infinity for the breach workflow.</w:t>
      </w:r>
    </w:p>
    <w:p>
      <w:pPr>
        <w:pStyle w:val="Heading3"/>
        <w:spacing w:after="140" w:before="240"/>
      </w:pPr>
      <w:r>
        <w:rPr>
          <w:rFonts w:ascii="Calibri" w:cs="Calibri" w:eastAsia="Calibri" w:hAnsi="Calibri"/>
          <w:b/>
          <w:bCs/>
          <w:sz w:val="24"/>
          <w:szCs w:val="24"/>
        </w:rPr>
        <w:t xml:space="preserve">TDCIS</w:t>
      </w:r>
    </w:p>
    <w:p>
      <w:pPr>
        <w:spacing w:after="100" w:before="100" w:line="300"/>
      </w:pPr>
      <w:r>
        <w:rPr>
          <w:rFonts w:ascii="Calibri" w:cs="Calibri" w:eastAsia="Calibri" w:hAnsi="Calibri"/>
          <w:sz w:val="22"/>
          <w:szCs w:val="22"/>
        </w:rPr>
        <w:t xml:space="preserve">TD Cowen legacy market-risk system. Limited scope post-integration.</w:t>
      </w:r>
    </w:p>
    <w:p>
      <w:pPr>
        <w:pStyle w:val="Heading2"/>
        <w:spacing w:after="160" w:before="320"/>
      </w:pPr>
      <w:r>
        <w:rPr>
          <w:rFonts w:ascii="Calibri" w:cs="Calibri" w:eastAsia="Calibri" w:hAnsi="Calibri"/>
          <w:b/>
          <w:bCs/>
          <w:color w:val="2F5496"/>
          <w:sz w:val="28"/>
          <w:szCs w:val="28"/>
        </w:rPr>
        <w:t xml:space="preserve">Liquidity applications</w:t>
      </w:r>
    </w:p>
    <w:p>
      <w:pPr>
        <w:pStyle w:val="Heading3"/>
        <w:spacing w:after="140" w:before="240"/>
      </w:pPr>
      <w:r>
        <w:rPr>
          <w:rFonts w:ascii="Calibri" w:cs="Calibri" w:eastAsia="Calibri" w:hAnsi="Calibri"/>
          <w:b/>
          <w:bCs/>
          <w:sz w:val="24"/>
          <w:szCs w:val="24"/>
        </w:rPr>
        <w:t xml:space="preserve">ALFA (US and TDS variants)</w:t>
      </w:r>
    </w:p>
    <w:p>
      <w:pPr>
        <w:spacing w:after="100" w:before="100" w:line="300"/>
      </w:pPr>
      <w:r>
        <w:rPr>
          <w:rFonts w:ascii="Calibri" w:cs="Calibri" w:eastAsia="Calibri" w:hAnsi="Calibri"/>
          <w:sz w:val="22"/>
          <w:szCs w:val="22"/>
        </w:rPr>
        <w:t xml:space="preserve">Liquidity and funding platform. Produces FR2052a regulatory reporting, funding dashboards, liquidity coverage metrics. Some apps within ALFA (e.g. ALFA-Druid) consume their own upstream data for processing — a case where a Risk app needs upstream data, not just the data it generates. Receives IM/VM forward projections from XVALA via REST API for cash flow forecasting (CFF). Feeds Infinity for liquidity breach workflow.</w:t>
      </w:r>
    </w:p>
    <w:p>
      <w:pPr>
        <w:pStyle w:val="Heading3"/>
        <w:spacing w:after="140" w:before="240"/>
      </w:pPr>
      <w:r>
        <w:rPr>
          <w:rFonts w:ascii="Calibri" w:cs="Calibri" w:eastAsia="Calibri" w:hAnsi="Calibri"/>
          <w:b/>
          <w:bCs/>
          <w:sz w:val="24"/>
          <w:szCs w:val="24"/>
        </w:rPr>
        <w:t xml:space="preserve">LAMP (Liquidity Analytics and Monitoring Platform)</w:t>
      </w:r>
    </w:p>
    <w:p>
      <w:pPr>
        <w:spacing w:after="100" w:before="100" w:line="300"/>
      </w:pPr>
      <w:r>
        <w:rPr>
          <w:rFonts w:ascii="Calibri" w:cs="Calibri" w:eastAsia="Calibri" w:hAnsi="Calibri"/>
          <w:sz w:val="22"/>
          <w:szCs w:val="22"/>
        </w:rPr>
        <w:t xml:space="preserve">Wholesale liquidity distributor. Sits alongside ALFA. Receives data from CMOS and Colline for collateral pledged / encumbered / unencumbered views used in the US Collateral Monitoring dashboard.</w:t>
      </w:r>
    </w:p>
    <w:p>
      <w:pPr>
        <w:pStyle w:val="Heading3"/>
        <w:spacing w:after="140" w:before="240"/>
      </w:pPr>
      <w:r>
        <w:rPr>
          <w:rFonts w:ascii="Calibri" w:cs="Calibri" w:eastAsia="Calibri" w:hAnsi="Calibri"/>
          <w:b/>
          <w:bCs/>
          <w:sz w:val="24"/>
          <w:szCs w:val="24"/>
        </w:rPr>
        <w:t xml:space="preserve">TBLS / Vision</w:t>
      </w:r>
    </w:p>
    <w:p>
      <w:pPr>
        <w:spacing w:after="100" w:before="100" w:line="300"/>
      </w:pPr>
      <w:r>
        <w:rPr>
          <w:rFonts w:ascii="Calibri" w:cs="Calibri" w:eastAsia="Calibri" w:hAnsi="Calibri"/>
          <w:sz w:val="22"/>
          <w:szCs w:val="22"/>
        </w:rPr>
        <w:t xml:space="preserve">Retail liquidity reporting. A component of the TBSM (Treasury Balance Sheet Management) platform.</w:t>
      </w:r>
    </w:p>
    <w:p>
      <w:pPr>
        <w:pStyle w:val="Heading3"/>
        <w:spacing w:after="140" w:before="240"/>
      </w:pPr>
      <w:r>
        <w:rPr>
          <w:rFonts w:ascii="Calibri" w:cs="Calibri" w:eastAsia="Calibri" w:hAnsi="Calibri"/>
          <w:b/>
          <w:bCs/>
          <w:sz w:val="24"/>
          <w:szCs w:val="24"/>
        </w:rPr>
        <w:t xml:space="preserve">Viper</w:t>
      </w:r>
    </w:p>
    <w:p>
      <w:pPr>
        <w:spacing w:after="100" w:before="100" w:line="300"/>
      </w:pPr>
      <w:r>
        <w:rPr>
          <w:rFonts w:ascii="Calibri" w:cs="Calibri" w:eastAsia="Calibri" w:hAnsi="Calibri"/>
          <w:sz w:val="22"/>
          <w:szCs w:val="22"/>
        </w:rPr>
        <w:t xml:space="preserve">Prime brokerage and securities finance: Repo, Reverse Repo, Sec Lending.</w:t>
      </w:r>
    </w:p>
    <w:p>
      <w:pPr>
        <w:pStyle w:val="Heading2"/>
        <w:spacing w:after="160" w:before="320"/>
      </w:pPr>
      <w:r>
        <w:rPr>
          <w:rFonts w:ascii="Calibri" w:cs="Calibri" w:eastAsia="Calibri" w:hAnsi="Calibri"/>
          <w:b/>
          <w:bCs/>
          <w:color w:val="2F5496"/>
          <w:sz w:val="28"/>
          <w:szCs w:val="28"/>
        </w:rPr>
        <w:t xml:space="preserve">Finance applications</w:t>
      </w:r>
    </w:p>
    <w:p>
      <w:pPr>
        <w:pStyle w:val="Heading3"/>
        <w:spacing w:after="140" w:before="240"/>
      </w:pPr>
      <w:r>
        <w:rPr>
          <w:rFonts w:ascii="Calibri" w:cs="Calibri" w:eastAsia="Calibri" w:hAnsi="Calibri"/>
          <w:b/>
          <w:bCs/>
          <w:sz w:val="24"/>
          <w:szCs w:val="24"/>
        </w:rPr>
        <w:t xml:space="preserve">INF (Infinity, also called TRAO)</w:t>
      </w:r>
    </w:p>
    <w:p>
      <w:pPr>
        <w:spacing w:after="100" w:before="100" w:line="300"/>
      </w:pPr>
      <w:r>
        <w:rPr>
          <w:rFonts w:ascii="Calibri" w:cs="Calibri" w:eastAsia="Calibri" w:hAnsi="Calibri"/>
          <w:sz w:val="22"/>
          <w:szCs w:val="22"/>
        </w:rPr>
        <w:t xml:space="preserve">P&amp;L hub and breach workflow system. Receives breach events from RCS / SRLM (market risk) and ALFA (liquidity). Credit-counterparty breach workflow from TCC is in build. The future home of breach workflow management for all of Risk.</w:t>
      </w:r>
    </w:p>
    <w:p>
      <w:pPr>
        <w:pStyle w:val="Heading3"/>
        <w:spacing w:after="140" w:before="240"/>
      </w:pPr>
      <w:r>
        <w:rPr>
          <w:rFonts w:ascii="Calibri" w:cs="Calibri" w:eastAsia="Calibri" w:hAnsi="Calibri"/>
          <w:b/>
          <w:bCs/>
          <w:sz w:val="24"/>
          <w:szCs w:val="24"/>
        </w:rPr>
        <w:t xml:space="preserve">TRW (Trade Reporting Warehouse) / SPR X</w:t>
      </w:r>
    </w:p>
    <w:p>
      <w:pPr>
        <w:spacing w:after="100" w:before="100" w:line="300"/>
      </w:pPr>
      <w:r>
        <w:rPr>
          <w:rFonts w:ascii="Calibri" w:cs="Calibri" w:eastAsia="Calibri" w:hAnsi="Calibri"/>
          <w:sz w:val="22"/>
          <w:szCs w:val="22"/>
        </w:rPr>
        <w:t xml:space="preserve">P&amp;L consolidation and finance reporting.</w:t>
      </w:r>
    </w:p>
    <w:p>
      <w:pPr>
        <w:pStyle w:val="Heading3"/>
        <w:spacing w:after="140" w:before="240"/>
      </w:pPr>
      <w:r>
        <w:rPr>
          <w:rFonts w:ascii="Calibri" w:cs="Calibri" w:eastAsia="Calibri" w:hAnsi="Calibri"/>
          <w:b/>
          <w:bCs/>
          <w:sz w:val="24"/>
          <w:szCs w:val="24"/>
        </w:rPr>
        <w:t xml:space="preserve">Axiom (FactSet AxiomSL)</w:t>
      </w:r>
    </w:p>
    <w:p>
      <w:pPr>
        <w:spacing w:after="100" w:before="100" w:line="300"/>
      </w:pPr>
      <w:r>
        <w:rPr>
          <w:rFonts w:ascii="Calibri" w:cs="Calibri" w:eastAsia="Calibri" w:hAnsi="Calibri"/>
          <w:sz w:val="22"/>
          <w:szCs w:val="22"/>
        </w:rPr>
        <w:t xml:space="preserve">Regulatory reporting submission platform.</w:t>
      </w:r>
    </w:p>
    <w:p>
      <w:pPr>
        <w:pStyle w:val="Heading2"/>
        <w:spacing w:after="160" w:before="320"/>
      </w:pPr>
      <w:r>
        <w:rPr>
          <w:rFonts w:ascii="Calibri" w:cs="Calibri" w:eastAsia="Calibri" w:hAnsi="Calibri"/>
          <w:b/>
          <w:bCs/>
          <w:color w:val="2F5496"/>
          <w:sz w:val="28"/>
          <w:szCs w:val="28"/>
        </w:rPr>
        <w:t xml:space="preserve">Shared infrastructure (not Risk-owned but Risk-consumed)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Component</w:t>
            </w:r>
          </w:p>
        </w:tc>
        <w:tc>
          <w:tcPr>
            <w:tcW w:type="dxa" w:w="72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it provides</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Veritas / TDVDS</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Trade service, reference data distribution, derived market data. Holds blending logic that Risk does not own — known governance gap (lineage opaque, logic ownership outside Risk).</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MIDAS / MDSL</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Internal FX rates platform. Consumed by nearly every Risk app.</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DMDS / TDVDM</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Derived market data — curves, surfaces. Feeds RCAPS and XVALA.</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PETR</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Party &amp; Entity Terms Repository. Counterparty reference data.</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TDSEM</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Security Master, Account Master, Party Master.</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IHMS</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Book hierarchy.</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Venom</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Solace real-time message bus. Distribution platform for real-time trade data.</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RDS</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Shared collateral / agreement data repository.</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CAIRO</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Collateral repo MTA system. Consumed by ALFA, CMOS, CRS, TCC.</w:t>
            </w:r>
          </w:p>
        </w:tc>
      </w:tr>
    </w:tbl>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Key Data Flows Between Risk Applications</w:t>
      </w:r>
    </w:p>
    <w:p>
      <w:pPr>
        <w:pStyle w:val="Heading2"/>
        <w:spacing w:after="160" w:before="320"/>
      </w:pPr>
      <w:r>
        <w:rPr>
          <w:rFonts w:ascii="Calibri" w:cs="Calibri" w:eastAsia="Calibri" w:hAnsi="Calibri"/>
          <w:b/>
          <w:bCs/>
          <w:color w:val="2F5496"/>
          <w:sz w:val="28"/>
          <w:szCs w:val="28"/>
        </w:rPr>
        <w:t xml:space="preserve">The valuation chain</w:t>
      </w:r>
    </w:p>
    <w:p>
      <w:pPr>
        <w:shd w:fill="F5F5F5" w:color="auto" w:val="clear"/>
        <w:spacing w:after="100" w:before="100" w:line="260"/>
        <w:ind w:left="200"/>
      </w:pPr>
      <w:r>
        <w:rPr>
          <w:rFonts w:ascii="Consolas" w:cs="Consolas" w:eastAsia="Consolas" w:hAnsi="Consolas"/>
          <w:sz w:val="18"/>
          <w:szCs w:val="18"/>
        </w:rPr>
        <w:t xml:space="preserve">Trade booking systems (Murex, Calypso, FIS, Sophis, Darwin, etc.)
        ↓
RCAPS / VS  ← builds trade objects, invokes Quantum, prices scenarios
        ↓ (HBase)
        ├──→ RCS    ← Greeks, VaR, SVaR, sensitivities
        └──→ XVALA  ← Monte Carlo, CVA, PFE, EPE
                ↓
             RAMS, TRW, SRLM, INF, ALFA</w:t>
      </w:r>
    </w:p>
    <w:p>
      <w:pPr>
        <w:pStyle w:val="Heading2"/>
        <w:spacing w:after="160" w:before="320"/>
      </w:pPr>
      <w:r>
        <w:rPr>
          <w:rFonts w:ascii="Calibri" w:cs="Calibri" w:eastAsia="Calibri" w:hAnsi="Calibri"/>
          <w:b/>
          <w:bCs/>
          <w:color w:val="2F5496"/>
          <w:sz w:val="28"/>
          <w:szCs w:val="28"/>
        </w:rPr>
        <w:t xml:space="preserve">Collateral and counterparty exposure</w:t>
      </w:r>
    </w:p>
    <w:p>
      <w:pPr>
        <w:shd w:fill="F5F5F5" w:color="auto" w:val="clear"/>
        <w:spacing w:after="100" w:before="100" w:line="260"/>
        <w:ind w:left="200"/>
      </w:pPr>
      <w:r>
        <w:rPr>
          <w:rFonts w:ascii="Consolas" w:cs="Consolas" w:eastAsia="Consolas" w:hAnsi="Consolas"/>
          <w:sz w:val="18"/>
          <w:szCs w:val="18"/>
        </w:rPr>
        <w:t xml:space="preserve">REGDS (TAMS)
  → ISDA / CSA / GMRA / GMSLA legal terms
  → distributes to CMOS, CRS, ALFA, RCAPS, RCS
CMOS (Colline)
  → collateral positions, VM margin calls
  → posts to RDS
  → feeds XVALA via RDS for CVA
CRS / SCREAM
  → credit hierarchy, book hierarchy, netting sets
  → feeds XVALA, RCAPS, RCS, SRLM
XVALA → CMOS / CRS  →  TCC (reporting layer)
                          ↓
                       counterparty reports
                       breach exception reports
                          ↓
                       CRA → GMC  (today: manual)
                       Infinity   (future: automated)</w:t>
      </w:r>
    </w:p>
    <w:p>
      <w:pPr>
        <w:pStyle w:val="Heading2"/>
        <w:spacing w:after="160" w:before="320"/>
      </w:pPr>
      <w:r>
        <w:rPr>
          <w:rFonts w:ascii="Calibri" w:cs="Calibri" w:eastAsia="Calibri" w:hAnsi="Calibri"/>
          <w:b/>
          <w:bCs/>
          <w:color w:val="2F5496"/>
          <w:sz w:val="28"/>
          <w:szCs w:val="28"/>
        </w:rPr>
        <w:t xml:space="preserve">Liquidity and funding</w:t>
      </w:r>
    </w:p>
    <w:p>
      <w:pPr>
        <w:shd w:fill="F5F5F5" w:color="auto" w:val="clear"/>
        <w:spacing w:after="100" w:before="100" w:line="260"/>
        <w:ind w:left="200"/>
      </w:pPr>
      <w:r>
        <w:rPr>
          <w:rFonts w:ascii="Consolas" w:cs="Consolas" w:eastAsia="Consolas" w:hAnsi="Consolas"/>
          <w:sz w:val="18"/>
          <w:szCs w:val="18"/>
        </w:rPr>
        <w:t xml:space="preserve">XVALA  →  ALFA  (REST API)
  • controlTradeFails        — dropped/failed trades
  • cbFundingDrillDown       — collateral-based funding breakdown
  • portfolio                — portfolio consumed by collateral
  • eimPostFundingAggregate  — IM forward projections (CFF)
  • cbFundingAggregate       — VM forward projections (CFF)
ALFA  →  Infinity   (liquidity breach workflow — live)
ALFA  →  Axiom      (FR2052a regulatory submission)</w:t>
      </w:r>
    </w:p>
    <w:p>
      <w:pPr>
        <w:pStyle w:val="Heading2"/>
        <w:spacing w:after="160" w:before="320"/>
      </w:pPr>
      <w:r>
        <w:rPr>
          <w:rFonts w:ascii="Calibri" w:cs="Calibri" w:eastAsia="Calibri" w:hAnsi="Calibri"/>
          <w:b/>
          <w:bCs/>
          <w:color w:val="2F5496"/>
          <w:sz w:val="28"/>
          <w:szCs w:val="28"/>
        </w:rPr>
        <w:t xml:space="preserve">Breach workflow — current vs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 type</w:t>
            </w:r>
          </w:p>
        </w:tc>
        <w:tc>
          <w:tcPr>
            <w:tcW w:type="dxa" w:w="18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Source app(s)</w:t>
            </w:r>
          </w:p>
        </w:tc>
        <w:tc>
          <w:tcPr>
            <w:tcW w:type="dxa" w:w="28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Workflow today</w:t>
            </w:r>
          </w:p>
        </w:tc>
        <w:tc>
          <w:tcPr>
            <w:tcW w:type="dxa" w:w="28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Workflow target</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Market risk</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RCS, SRLM</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RCS → SRLM → Infinity (live)</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Same</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Liquidity</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ALFA</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ALFA → Infinity (live)</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Same</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Credit / counterparty</w:t>
            </w:r>
          </w:p>
        </w:tc>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TCC</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TCC report → CRA → GMC (manual today)</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TCC → Infinity (in build)</w:t>
            </w:r>
          </w:p>
        </w:tc>
      </w:tr>
    </w:tbl>
    <w:p>
      <w:pPr>
        <w:pStyle w:val="Heading2"/>
        <w:spacing w:after="160" w:before="320"/>
      </w:pPr>
      <w:r>
        <w:rPr>
          <w:rFonts w:ascii="Calibri" w:cs="Calibri" w:eastAsia="Calibri" w:hAnsi="Calibri"/>
          <w:b/>
          <w:bCs/>
          <w:color w:val="2F5496"/>
          <w:sz w:val="28"/>
          <w:szCs w:val="28"/>
        </w:rPr>
        <w:t xml:space="preserve">Known data flow issues</w:t>
      </w:r>
    </w:p>
    <w:p>
      <w:pPr>
        <w:pStyle w:val="ListParagraph"/>
        <w:numPr>
          <w:ilvl w:val="0"/>
          <w:numId w:val="2"/>
        </w:numPr>
        <w:spacing w:after="60" w:before="60" w:line="280"/>
      </w:pPr>
      <w:r>
        <w:rPr>
          <w:rFonts w:ascii="Calibri" w:cs="Calibri" w:eastAsia="Calibri" w:hAnsi="Calibri"/>
          <w:sz w:val="22"/>
          <w:szCs w:val="22"/>
        </w:rPr>
        <w:t xml:space="preserve">Veritas blending: XVALA receives a pre-blended composite from Veritas (CMOS collateral + CRS book hierarchy + CRS credit hierarchy). XVALA cannot see the original domain boundaries. Lineage is opaque, blending logic ownership sits outside Risk in Veritas.</w:t>
      </w:r>
    </w:p>
    <w:p>
      <w:pPr>
        <w:pStyle w:val="ListParagraph"/>
        <w:numPr>
          <w:ilvl w:val="0"/>
          <w:numId w:val="2"/>
        </w:numPr>
        <w:spacing w:after="60" w:before="60" w:line="280"/>
      </w:pPr>
      <w:r>
        <w:rPr>
          <w:rFonts w:ascii="Calibri" w:cs="Calibri" w:eastAsia="Calibri" w:hAnsi="Calibri"/>
          <w:sz w:val="22"/>
          <w:szCs w:val="22"/>
        </w:rPr>
        <w:t xml:space="preserve">CRS → XVALA migration is product-by-product. During migration, TCC may aggregate exposures calculated by two different methodologies for the same counterparty. CRA must understand which system calculated which number before escalating.</w:t>
      </w:r>
    </w:p>
    <w:p>
      <w:pPr>
        <w:pStyle w:val="ListParagraph"/>
        <w:numPr>
          <w:ilvl w:val="0"/>
          <w:numId w:val="2"/>
        </w:numPr>
        <w:spacing w:after="60" w:before="60" w:line="280"/>
      </w:pPr>
      <w:r>
        <w:rPr>
          <w:rFonts w:ascii="Calibri" w:cs="Calibri" w:eastAsia="Calibri" w:hAnsi="Calibri"/>
          <w:sz w:val="22"/>
          <w:szCs w:val="22"/>
        </w:rPr>
        <w:t xml:space="preserve">Credit-counterparty breach workflow is end-to-end manual today. TCC produces the report; no automated handoff to Infinity yet.</w:t>
      </w:r>
    </w:p>
    <w:p>
      <w:pPr>
        <w:pStyle w:val="ListParagraph"/>
        <w:numPr>
          <w:ilvl w:val="0"/>
          <w:numId w:val="2"/>
        </w:numPr>
        <w:spacing w:after="60" w:before="60" w:line="280"/>
      </w:pPr>
      <w:r>
        <w:rPr>
          <w:rFonts w:ascii="Calibri" w:cs="Calibri" w:eastAsia="Calibri" w:hAnsi="Calibri"/>
          <w:sz w:val="22"/>
          <w:szCs w:val="22"/>
        </w:rPr>
        <w:t xml:space="preserve">Inconsistent valuations across collateral world (CMOS) and risk world (XVALA) can produce VM-vs-CVA mismatches when pricing models differ for the same trade.</w:t>
      </w:r>
    </w:p>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Databricks Architecture</w:t>
      </w:r>
    </w:p>
    <w:p>
      <w:pPr>
        <w:pStyle w:val="Heading2"/>
        <w:spacing w:after="160" w:before="320"/>
      </w:pPr>
      <w:r>
        <w:rPr>
          <w:rFonts w:ascii="Calibri" w:cs="Calibri" w:eastAsia="Calibri" w:hAnsi="Calibri"/>
          <w:b/>
          <w:bCs/>
          <w:color w:val="2F5496"/>
          <w:sz w:val="28"/>
          <w:szCs w:val="28"/>
        </w:rPr>
        <w:t xml:space="preserve">Account, workspace, metastore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w:t>
            </w:r>
          </w:p>
        </w:tc>
        <w:tc>
          <w:tcPr>
            <w:tcW w:type="dxa" w:w="64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it is</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Databricks-TDS Account</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Top-level container for all Databricks assets. One per organisation.</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Workspace</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Environment for notebooks, jobs, and clusters. Where users work. Catalogs and schemas are defined here. The Risk workspace is adb_dev03.</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Metastore</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Unity Catalog governance layer. One per region. Links to the workspaces in the same region.</w:t>
            </w:r>
          </w:p>
        </w:tc>
      </w:tr>
    </w:tbl>
    <w:p>
      <w:pPr>
        <w:pStyle w:val="Heading2"/>
        <w:spacing w:after="160" w:before="320"/>
      </w:pPr>
      <w:r>
        <w:rPr>
          <w:rFonts w:ascii="Calibri" w:cs="Calibri" w:eastAsia="Calibri" w:hAnsi="Calibri"/>
          <w:b/>
          <w:bCs/>
          <w:color w:val="2F5496"/>
          <w:sz w:val="28"/>
          <w:szCs w:val="28"/>
        </w:rPr>
        <w:t xml:space="preserve">Catalog and schema layout</w:t>
      </w:r>
    </w:p>
    <w:p>
      <w:pPr>
        <w:spacing w:after="100" w:before="100" w:line="300"/>
      </w:pPr>
      <w:r>
        <w:rPr>
          <w:rFonts w:ascii="Calibri" w:cs="Calibri" w:eastAsia="Calibri" w:hAnsi="Calibri"/>
          <w:sz w:val="22"/>
          <w:szCs w:val="22"/>
        </w:rPr>
        <w:t xml:space="preserve">Catalogs are organised by Product Group, plus the Risk warehouse and governance catalogs.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Catalog</w:t>
            </w:r>
          </w:p>
        </w:tc>
        <w:tc>
          <w:tcPr>
            <w:tcW w:type="dxa" w:w="46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Purpose</w:t>
            </w:r>
          </w:p>
        </w:tc>
        <w:tc>
          <w:tcPr>
            <w:tcW w:type="dxa" w:w="28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Owner</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creditrisk</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schema per Credit Risk app — the malcode-specific schema. e.g. creditrisk.xvala, creditrisk.cmos, creditrisk.tcc, creditrisk.regds. Apps land their generated data here.</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(catalog), App team (data within their malcode-specific schema)</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marketrisk</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schema per Market Risk app. e.g. marketrisk.rcaps, marketrisk.rcs, marketrisk.rams.</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 App teams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liquidity</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schema per Liquidity app. e.g. liquidity.alfa, liquidity.lamp.</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 App teams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finance</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schema per Finance app. e.g. finance.inf, finance.trw.</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 App teams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riskwh</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Risk warehouse. Contains the Product Group models, the Risk Domain Model, curated data products, the semantic layer, and the sandbox.</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 (Risk Data Director)</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risk_governance</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Governance metadata — contract registry, lineage, tag reference.</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w:t>
            </w:r>
          </w:p>
        </w:tc>
      </w:tr>
    </w:tbl>
    <w:p>
      <w:pPr>
        <w:pStyle w:val="Heading2"/>
        <w:spacing w:after="160" w:before="320"/>
      </w:pPr>
      <w:r>
        <w:rPr>
          <w:rFonts w:ascii="Calibri" w:cs="Calibri" w:eastAsia="Calibri" w:hAnsi="Calibri"/>
          <w:b/>
          <w:bCs/>
          <w:color w:val="2F5496"/>
          <w:sz w:val="28"/>
          <w:szCs w:val="28"/>
        </w:rPr>
        <w:t xml:space="preserve">Schema layout within riskwh</w:t>
      </w:r>
    </w:p>
    <w:p>
      <w:pPr>
        <w:spacing w:after="100" w:before="100" w:line="300"/>
      </w:pPr>
      <w:r>
        <w:rPr>
          <w:rFonts w:ascii="Calibri" w:cs="Calibri" w:eastAsia="Calibri" w:hAnsi="Calibri"/>
          <w:sz w:val="22"/>
          <w:szCs w:val="22"/>
        </w:rPr>
        <w:t xml:space="preserve">riskwh schemas mirror the resolution path from app footprint to Risk Domain Model.</w:t>
      </w:r>
    </w:p>
    <w:p>
      <w:pPr>
        <w:shd w:fill="F5F5F5" w:color="auto" w:val="clear"/>
        <w:spacing w:after="100" w:before="100" w:line="260"/>
        <w:ind w:left="200"/>
      </w:pPr>
      <w:r>
        <w:rPr>
          <w:rFonts w:ascii="Consolas" w:cs="Consolas" w:eastAsia="Consolas" w:hAnsi="Consolas"/>
          <w:sz w:val="18"/>
          <w:szCs w:val="18"/>
        </w:rPr>
        <w:t xml:space="preserve">riskwh.app_views     -- views over malcode-specific schemas (one per app)
riskwh.pg_models     -- Product Group level conformed models
riskwh.risk_domain   -- the Risk Domain Model (composed of PG models)
riskwh.gold          -- curated data products (views or physical, per contract)
riskwh.semantic      -- semantic layer definitions (dbt / Metric Views)
riskwh.lookup        -- risk-derived dimensions and lookup tables
riskwh.sandbox       -- exploration; not contracted; not consumed by ops</w:t>
      </w:r>
    </w:p>
    <w:p>
      <w:pPr>
        <w:pStyle w:val="Heading2"/>
        <w:spacing w:after="160" w:before="320"/>
      </w:pPr>
      <w:r>
        <w:rPr>
          <w:rFonts w:ascii="Calibri" w:cs="Calibri" w:eastAsia="Calibri" w:hAnsi="Calibri"/>
          <w:b/>
          <w:bCs/>
          <w:color w:val="2F5496"/>
          <w:sz w:val="28"/>
          <w:szCs w:val="28"/>
        </w:rPr>
        <w:t xml:space="preserve">The resolution path: A → B → C</w:t>
      </w:r>
    </w:p>
    <w:p>
      <w:pPr>
        <w:spacing w:after="100" w:before="100" w:line="300"/>
      </w:pPr>
      <w:r>
        <w:rPr>
          <w:rFonts w:ascii="Calibri" w:cs="Calibri" w:eastAsia="Calibri" w:hAnsi="Calibri"/>
          <w:sz w:val="22"/>
          <w:szCs w:val="22"/>
        </w:rPr>
        <w:t xml:space="preserve">Data resolves upward through three model levels. Wherever possible the higher levels are views over the lower levels — "data copy only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680"/>
        <w:gridCol w:w="2160"/>
      </w:tblGrid>
      <w:tr>
        <w:trPr>
          <w:tblHeader/>
        </w:trPr>
        <w:tc>
          <w:tcPr>
            <w:tcW w:type="dxa" w:w="252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Step</w:t>
            </w:r>
          </w:p>
        </w:tc>
        <w:tc>
          <w:tcPr>
            <w:tcW w:type="dxa" w:w="46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resolves</w:t>
            </w:r>
          </w:p>
        </w:tc>
        <w:tc>
          <w:tcPr>
            <w:tcW w:type="dxa" w:w="21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Where it lives</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 — App / project level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Generated data and model are at project or app level. Each app lands its data into its malcode-specific schema. The model, where it exists, describes what one app produces.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&lt;pg_catalog&gt;.&lt;app_name&gt; (e.g. creditrisk.xvala)</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B — Product Group level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Project-level schemas resolve into a product-level data model. Conformed dimensions and shared definitions are introduced here, across the apps inside one PG. In build for credit risk, market risk, liquidity, finance.</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riskwh.pg_models</w:t>
            </w:r>
          </w:p>
        </w:tc>
      </w:tr>
      <w:tr>
        <w:tc>
          <w:tcPr>
            <w:tcW w:type="dxa" w:w="25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 — Risk Domain level</w:t>
            </w:r>
          </w:p>
        </w:tc>
        <w:tc>
          <w:tcPr>
            <w:tcW w:type="dxa" w:w="46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models resolve into the Risk Data Model — business objects, not application or project specific. Risk's contribution to enterprise CDM Domain #5.</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riskwh.risk_domain</w:t>
            </w:r>
          </w:p>
        </w:tc>
      </w:tr>
    </w:tbl>
    <w:p>
      <w:pPr>
        <w:pStyle w:val="Heading2"/>
        <w:spacing w:after="160" w:before="320"/>
      </w:pPr>
      <w:r>
        <w:rPr>
          <w:rFonts w:ascii="Calibri" w:cs="Calibri" w:eastAsia="Calibri" w:hAnsi="Calibri"/>
          <w:b/>
          <w:bCs/>
          <w:color w:val="2F5496"/>
          <w:sz w:val="28"/>
          <w:szCs w:val="28"/>
        </w:rPr>
        <w:t xml:space="preserve">The 6-stage Risk Data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Stage</w:t>
            </w:r>
          </w:p>
        </w:tc>
        <w:tc>
          <w:tcPr>
            <w:tcW w:type="dxa" w:w="64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this stage adds</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① Raw / Landed</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Each app lands the risk data it generates into its malcode-specific schema. Data arrives in the app's own shape and naming.</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② Conformed</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Shared dimensions are introduced across apps. Counterparty, trade, currency, time bucket, book, desk.</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③ Risk Domain Model + curated datasets</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Connected model of Risk entities. Cross-app joins via conformed dimensions. Aggregated to analytics-friendly levels of detail.</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④ Governed data products</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curated dataset paired with a contract. Tagged in Unity Catalog, registered in Collibra.</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⑤ Declared semantics</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Aggregation rules and business behaviour declared once, applied automatically at query time. Star schemas built on top of the products.</w:t>
            </w:r>
          </w:p>
        </w:tc>
      </w:tr>
      <w:tr>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⑥ Analytics in BI</w:t>
            </w:r>
          </w:p>
        </w:tc>
        <w:tc>
          <w:tcPr>
            <w:tcW w:type="dxa" w:w="64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Dashboards, ad-hoc queries, regulatory feeds, model inputs.</w:t>
            </w:r>
          </w:p>
        </w:tc>
      </w:tr>
    </w:tbl>
    <w:p>
      <w:pPr>
        <w:spacing w:after="100" w:before="100" w:line="300"/>
      </w:pPr>
      <w:r>
        <w:rPr>
          <w:rFonts w:ascii="Calibri" w:cs="Calibri" w:eastAsia="Calibri" w:hAnsi="Calibri"/>
          <w:sz w:val="22"/>
          <w:szCs w:val="22"/>
        </w:rPr>
        <w:t xml:space="preserve">Authoritative and Certified are properties a data product can have — they are not separate stages.</w:t>
      </w:r>
    </w:p>
    <w:p>
      <w:pPr>
        <w:pStyle w:val="Heading2"/>
        <w:spacing w:after="160" w:before="320"/>
      </w:pPr>
      <w:r>
        <w:rPr>
          <w:rFonts w:ascii="Calibri" w:cs="Calibri" w:eastAsia="Calibri" w:hAnsi="Calibri"/>
          <w:b/>
          <w:bCs/>
          <w:color w:val="2F5496"/>
          <w:sz w:val="28"/>
          <w:szCs w:val="28"/>
        </w:rPr>
        <w:t xml:space="preserve">The four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Object</w:t>
            </w:r>
          </w:p>
        </w:tc>
        <w:tc>
          <w:tcPr>
            <w:tcW w:type="dxa" w:w="72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Description</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Entity</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real-world thing — counterparty, trade, agreement. Foundation under everything.</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 Model</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Three nested levels in the Risk space: App data footprint → Product Group model → Risk Domain Model.</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 Product</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curated dataset with a contract. Closed shape, stable, ready to consume.</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Star Schema</w:t>
            </w:r>
          </w:p>
        </w:tc>
        <w:tc>
          <w:tcPr>
            <w:tcW w:type="dxa" w:w="72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 joined to shared dimensions for self-service. Open shape; semantic layer enforces safe use.</w:t>
            </w:r>
          </w:p>
        </w:tc>
      </w:tr>
    </w:tbl>
    <w:p>
      <w:pPr>
        <w:pStyle w:val="Heading2"/>
        <w:spacing w:after="160" w:before="320"/>
      </w:pPr>
      <w:r>
        <w:rPr>
          <w:rFonts w:ascii="Calibri" w:cs="Calibri" w:eastAsia="Calibri" w:hAnsi="Calibri"/>
          <w:b/>
          <w:bCs/>
          <w:color w:val="2F5496"/>
          <w:sz w:val="28"/>
          <w:szCs w:val="28"/>
        </w:rPr>
        <w:t xml:space="preserve">Data copy only by design</w:t>
      </w:r>
    </w:p>
    <w:p>
      <w:pPr>
        <w:spacing w:after="100" w:before="100" w:line="300"/>
      </w:pPr>
      <w:r>
        <w:rPr>
          <w:rFonts w:ascii="Calibri" w:cs="Calibri" w:eastAsia="Calibri" w:hAnsi="Calibri"/>
          <w:sz w:val="22"/>
          <w:szCs w:val="22"/>
        </w:rPr>
        <w:t xml:space="preserve">Default to views. Make a physical copy only when the contract or implementation requires it: snapshot stability, query performance, volatile upstream. This applies to entity views, data products, and star schemas alike.</w:t>
      </w:r>
    </w:p>
    <w:p>
      <w:pPr>
        <w:pStyle w:val="Heading2"/>
        <w:spacing w:after="160" w:before="320"/>
      </w:pPr>
      <w:r>
        <w:rPr>
          <w:rFonts w:ascii="Calibri" w:cs="Calibri" w:eastAsia="Calibri" w:hAnsi="Calibri"/>
          <w:b/>
          <w:bCs/>
          <w:color w:val="2F5496"/>
          <w:sz w:val="28"/>
          <w:szCs w:val="28"/>
        </w:rPr>
        <w:t xml:space="preserve">Three views of the same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rPr>
          <w:tblHeader/>
        </w:trPr>
        <w:tc>
          <w:tcPr>
            <w:tcW w:type="dxa" w:w="18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View</w:t>
            </w:r>
          </w:p>
        </w:tc>
        <w:tc>
          <w:tcPr>
            <w:tcW w:type="dxa" w:w="432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Who uses it</w:t>
            </w:r>
          </w:p>
        </w:tc>
        <w:tc>
          <w:tcPr>
            <w:tcW w:type="dxa" w:w="324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Scope</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view</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teams</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app inside one PG</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Product Group view</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Leaders, PG-level consumers</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 apps inside one PG</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view</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 Data, central consumers</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All four PGs across Risk</w:t>
            </w:r>
          </w:p>
        </w:tc>
      </w:tr>
    </w:tbl>
    <w:p>
      <w:pPr>
        <w:spacing w:after="100" w:before="100" w:line="300"/>
      </w:pPr>
      <w:r>
        <w:rPr>
          <w:rFonts w:ascii="Calibri" w:cs="Calibri" w:eastAsia="Calibri" w:hAnsi="Calibri"/>
          <w:sz w:val="22"/>
          <w:szCs w:val="22"/>
        </w:rPr>
        <w:t xml:space="preserve">Three lenses, not three copies. Higher-level lenses layer shared definitions over the same physical data.</w:t>
      </w:r>
    </w:p>
    <w:p>
      <w:pPr>
        <w:pStyle w:val="Heading2"/>
        <w:spacing w:after="160" w:before="320"/>
      </w:pPr>
      <w:r>
        <w:rPr>
          <w:rFonts w:ascii="Calibri" w:cs="Calibri" w:eastAsia="Calibri" w:hAnsi="Calibri"/>
          <w:b/>
          <w:bCs/>
          <w:color w:val="2F5496"/>
          <w:sz w:val="28"/>
          <w:szCs w:val="28"/>
        </w:rPr>
        <w:t xml:space="preserve">Known platform constraints</w:t>
      </w:r>
    </w:p>
    <w:p>
      <w:pPr>
        <w:pStyle w:val="ListParagraph"/>
        <w:numPr>
          <w:ilvl w:val="0"/>
          <w:numId w:val="2"/>
        </w:numPr>
        <w:spacing w:after="60" w:before="60" w:line="280"/>
      </w:pPr>
      <w:r>
        <w:rPr>
          <w:rFonts w:ascii="Calibri" w:cs="Calibri" w:eastAsia="Calibri" w:hAnsi="Calibri"/>
          <w:sz w:val="22"/>
          <w:szCs w:val="22"/>
        </w:rPr>
        <w:t xml:space="preserve">Databricks SQL does not support DDL constraints or defaults. Constraints are enforced via contracts and the semantic layer, not table-level DDL.</w:t>
      </w:r>
    </w:p>
    <w:p>
      <w:pPr>
        <w:pStyle w:val="ListParagraph"/>
        <w:numPr>
          <w:ilvl w:val="0"/>
          <w:numId w:val="2"/>
        </w:numPr>
        <w:spacing w:after="60" w:before="60" w:line="280"/>
      </w:pPr>
      <w:r>
        <w:rPr>
          <w:rFonts w:ascii="Calibri" w:cs="Calibri" w:eastAsia="Calibri" w:hAnsi="Calibri"/>
          <w:sz w:val="22"/>
          <w:szCs w:val="22"/>
        </w:rPr>
        <w:t xml:space="preserve">Unity Catalog tags carry the contract's rules in the technical catalog, but tag values are strings — automated enforcement must be implemented at the semantic layer level.</w:t>
      </w:r>
    </w:p>
    <w:p>
      <w:pPr>
        <w:pStyle w:val="ListParagraph"/>
        <w:numPr>
          <w:ilvl w:val="0"/>
          <w:numId w:val="2"/>
        </w:numPr>
        <w:spacing w:after="60" w:before="60" w:line="280"/>
      </w:pPr>
      <w:r>
        <w:rPr>
          <w:rFonts w:ascii="Calibri" w:cs="Calibri" w:eastAsia="Calibri" w:hAnsi="Calibri"/>
          <w:sz w:val="22"/>
          <w:szCs w:val="22"/>
        </w:rPr>
        <w:t xml:space="preserve">Some apps run inside Databricks workflows; some run entirely outside Databricks and only land their outputs. Ingestion patterns therefore vary: streaming via Kafka/Solace (Venom), full loads, CDC, and file drops all coexist.</w:t>
      </w:r>
    </w:p>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The Federation Model — Roles and Ownership</w:t>
      </w:r>
    </w:p>
    <w:p>
      <w:pPr>
        <w:pBdr>
          <w:left w:val="single" w:color="B0B0B0" w:sz="18" w:space="12"/>
        </w:pBdr>
        <w:spacing w:after="200" w:before="100" w:line="300"/>
        <w:ind w:left="200"/>
      </w:pPr>
      <w:r>
        <w:rPr>
          <w:rFonts w:ascii="Calibri" w:cs="Calibri" w:eastAsia="Calibri" w:hAnsi="Calibri"/>
          <w:i/>
          <w:iCs/>
          <w:color w:val="555555"/>
          <w:sz w:val="22"/>
          <w:szCs w:val="22"/>
        </w:rPr>
        <w:t xml:space="preserve">Risk Data operates a federated model. Different parts of the data lifecycle are owned by different roles. The federation table below is the canonical reference for who owns what.</w:t>
      </w:r>
    </w:p>
    <w:p>
      <w:pPr>
        <w:pStyle w:val="Heading2"/>
        <w:spacing w:after="160" w:before="320"/>
      </w:pPr>
      <w:r>
        <w:rPr>
          <w:rFonts w:ascii="Calibri" w:cs="Calibri" w:eastAsia="Calibri" w:hAnsi="Calibri"/>
          <w:b/>
          <w:bCs/>
          <w:color w:val="2F5496"/>
          <w:sz w:val="28"/>
          <w:szCs w:val="28"/>
        </w:rPr>
        <w:t xml:space="preserve">The four-row federation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Context</w:t>
            </w:r>
          </w:p>
        </w:tc>
        <w:tc>
          <w:tcPr>
            <w:tcW w:type="dxa" w:w="21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Owner</w:t>
            </w:r>
          </w:p>
        </w:tc>
        <w:tc>
          <w:tcPr>
            <w:tcW w:type="dxa" w:w="504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is owned / implemented</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Applications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team</w:t>
            </w:r>
          </w:p>
        </w:tc>
        <w:tc>
          <w:tcPr>
            <w:tcW w:type="dxa" w:w="50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Logic, business rules, App Data Schema, Risk Generated Data. App teams have freedom to refactor their own data because consumers don't connect there directly.</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Analytics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 / Risk Data Warehouse</w:t>
            </w:r>
          </w:p>
        </w:tc>
        <w:tc>
          <w:tcPr>
            <w:tcW w:type="dxa" w:w="50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Curated data products, contracts, semantic definitions, analytics dashboards. Single point of consumption for analytics.</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 Domain Models</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Product Owner (PG Leader)</w:t>
            </w:r>
          </w:p>
        </w:tc>
        <w:tc>
          <w:tcPr>
            <w:tcW w:type="dxa" w:w="50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Conformed dimensions, lookup tables, ERD, publishes to CDM. Sponsors the PG's domain model. Drives data conformance across apps within the PG.</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Upstream Domain Model</w:t>
            </w:r>
          </w:p>
        </w:tc>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CDO</w:t>
            </w:r>
          </w:p>
        </w:tc>
        <w:tc>
          <w:tcPr>
            <w:tcW w:type="dxa" w:w="50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Trades, reference data, master data, market data, etc. Drives enterprise consistency at the entity level.</w:t>
            </w:r>
          </w:p>
        </w:tc>
      </w:tr>
    </w:tbl>
    <w:p>
      <w:pPr>
        <w:pStyle w:val="Heading2"/>
        <w:spacing w:after="160" w:before="320"/>
      </w:pPr>
      <w:r>
        <w:rPr>
          <w:rFonts w:ascii="Calibri" w:cs="Calibri" w:eastAsia="Calibri" w:hAnsi="Calibri"/>
          <w:b/>
          <w:bCs/>
          <w:color w:val="2F5496"/>
          <w:sz w:val="28"/>
          <w:szCs w:val="28"/>
        </w:rPr>
        <w:t xml:space="preserve">Three-tier data product ownership</w:t>
      </w:r>
    </w:p>
    <w:p>
      <w:pPr>
        <w:spacing w:after="100" w:before="100" w:line="300"/>
      </w:pPr>
      <w:r>
        <w:rPr>
          <w:rFonts w:ascii="Calibri" w:cs="Calibri" w:eastAsia="Calibri" w:hAnsi="Calibri"/>
          <w:sz w:val="22"/>
          <w:szCs w:val="22"/>
        </w:rPr>
        <w:t xml:space="preserve">"Data product" is not one thing. It is three things at three levels with different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Tier</w:t>
            </w:r>
          </w:p>
        </w:tc>
        <w:tc>
          <w:tcPr>
            <w:tcW w:type="dxa" w:w="324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Owner</w:t>
            </w:r>
          </w:p>
        </w:tc>
        <w:tc>
          <w:tcPr>
            <w:tcW w:type="dxa" w:w="28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Examples</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App data product (raw / operational)</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team</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xvala_exposure_raw, cmos_collateral_raw</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 data product (conformed)</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PG Leader (business owner) + DD (technical author)</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fact_exposure (CCR atomic primary at netting-set grain, conformed across XVALA + CMOS + REGDS)</w:t>
            </w:r>
          </w:p>
        </w:tc>
      </w:tr>
      <w:tr>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Analytics / Curated data product</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DD / Risk Warehouse</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cp_risk_summary (cross-product 360 view), report_basel_sa_ccr</w:t>
            </w:r>
          </w:p>
        </w:tc>
      </w:tr>
    </w:tbl>
    <w:p>
      <w:pPr>
        <w:pStyle w:val="Heading2"/>
        <w:spacing w:after="160" w:before="320"/>
      </w:pPr>
      <w:r>
        <w:rPr>
          <w:rFonts w:ascii="Calibri" w:cs="Calibri" w:eastAsia="Calibri" w:hAnsi="Calibri"/>
          <w:b/>
          <w:bCs/>
          <w:color w:val="2F5496"/>
          <w:sz w:val="28"/>
          <w:szCs w:val="28"/>
        </w:rPr>
        <w:t xml:space="preserve">Risk Data Director (DD) — scope today</w:t>
      </w:r>
    </w:p>
    <w:p>
      <w:pPr>
        <w:pStyle w:val="ListParagraph"/>
        <w:numPr>
          <w:ilvl w:val="0"/>
          <w:numId w:val="2"/>
        </w:numPr>
        <w:spacing w:after="60" w:before="60" w:line="280"/>
      </w:pPr>
      <w:r>
        <w:rPr>
          <w:rFonts w:ascii="Calibri" w:cs="Calibri" w:eastAsia="Calibri" w:hAnsi="Calibri"/>
          <w:sz w:val="22"/>
          <w:szCs w:val="22"/>
        </w:rPr>
        <w:t xml:space="preserve">Authoring architecture and design principles for the analytics layer</w:t>
      </w:r>
    </w:p>
    <w:p>
      <w:pPr>
        <w:pStyle w:val="ListParagraph"/>
        <w:numPr>
          <w:ilvl w:val="0"/>
          <w:numId w:val="2"/>
        </w:numPr>
        <w:spacing w:after="60" w:before="60" w:line="280"/>
      </w:pPr>
      <w:r>
        <w:rPr>
          <w:rFonts w:ascii="Calibri" w:cs="Calibri" w:eastAsia="Calibri" w:hAnsi="Calibri"/>
          <w:sz w:val="22"/>
          <w:szCs w:val="22"/>
        </w:rPr>
        <w:t xml:space="preserve">Developing templates and standards (data contract, UC tag, schema, semantic layer, onboarding form)</w:t>
      </w:r>
    </w:p>
    <w:p>
      <w:pPr>
        <w:pStyle w:val="ListParagraph"/>
        <w:numPr>
          <w:ilvl w:val="0"/>
          <w:numId w:val="2"/>
        </w:numPr>
        <w:spacing w:after="60" w:before="60" w:line="280"/>
      </w:pPr>
      <w:r>
        <w:rPr>
          <w:rFonts w:ascii="Calibri" w:cs="Calibri" w:eastAsia="Calibri" w:hAnsi="Calibri"/>
          <w:sz w:val="22"/>
          <w:szCs w:val="22"/>
        </w:rPr>
        <w:t xml:space="preserve">Convening architecture sessions across PGs and apps</w:t>
      </w:r>
    </w:p>
    <w:p>
      <w:pPr>
        <w:pStyle w:val="ListParagraph"/>
        <w:numPr>
          <w:ilvl w:val="0"/>
          <w:numId w:val="2"/>
        </w:numPr>
        <w:spacing w:after="60" w:before="60" w:line="280"/>
      </w:pPr>
      <w:r>
        <w:rPr>
          <w:rFonts w:ascii="Calibri" w:cs="Calibri" w:eastAsia="Calibri" w:hAnsi="Calibri"/>
          <w:sz w:val="22"/>
          <w:szCs w:val="22"/>
        </w:rPr>
        <w:t xml:space="preserve">Sharing strategy upward and across the org</w:t>
      </w:r>
    </w:p>
    <w:p>
      <w:pPr>
        <w:pStyle w:val="ListParagraph"/>
        <w:numPr>
          <w:ilvl w:val="0"/>
          <w:numId w:val="2"/>
        </w:numPr>
        <w:spacing w:after="60" w:before="60" w:line="280"/>
      </w:pPr>
      <w:r>
        <w:rPr>
          <w:rFonts w:ascii="Calibri" w:cs="Calibri" w:eastAsia="Calibri" w:hAnsi="Calibri"/>
          <w:sz w:val="22"/>
          <w:szCs w:val="22"/>
        </w:rPr>
        <w:t xml:space="preserve">Maintaining the initiatives roster — what is being built and when</w:t>
      </w:r>
    </w:p>
    <w:p>
      <w:pPr>
        <w:pStyle w:val="ListParagraph"/>
        <w:numPr>
          <w:ilvl w:val="0"/>
          <w:numId w:val="2"/>
        </w:numPr>
        <w:spacing w:after="60" w:before="60" w:line="280"/>
      </w:pPr>
      <w:r>
        <w:rPr>
          <w:rFonts w:ascii="Calibri" w:cs="Calibri" w:eastAsia="Calibri" w:hAnsi="Calibri"/>
          <w:sz w:val="22"/>
          <w:szCs w:val="22"/>
        </w:rPr>
        <w:t xml:space="preserve">Owning the riskwh catalog and the analytics-zone artifacts within it</w:t>
      </w:r>
    </w:p>
    <w:p>
      <w:pPr>
        <w:pStyle w:val="Heading2"/>
        <w:spacing w:after="160" w:before="320"/>
      </w:pPr>
      <w:r>
        <w:rPr>
          <w:rFonts w:ascii="Calibri" w:cs="Calibri" w:eastAsia="Calibri" w:hAnsi="Calibri"/>
          <w:b/>
          <w:bCs/>
          <w:color w:val="2F5496"/>
          <w:sz w:val="28"/>
          <w:szCs w:val="28"/>
        </w:rPr>
        <w:t xml:space="preserve">DD is one person — an individual contributor</w:t>
      </w:r>
    </w:p>
    <w:p>
      <w:pPr>
        <w:spacing w:after="100" w:before="100" w:line="300"/>
      </w:pPr>
      <w:r>
        <w:rPr>
          <w:rFonts w:ascii="Calibri" w:cs="Calibri" w:eastAsia="Calibri" w:hAnsi="Calibri"/>
          <w:sz w:val="22"/>
          <w:szCs w:val="22"/>
        </w:rPr>
        <w:t xml:space="preserve">DD does not have a team reporting in. DD works through the Risk Tech Lead (peer relationship) and through the App teams. DD is not in a vacuum — every artifact and standard is built in partnership with PG Leaders, App teams, and CDO.</w:t>
      </w:r>
    </w:p>
    <w:p>
      <w:pPr>
        <w:pStyle w:val="Heading2"/>
        <w:spacing w:after="160" w:before="320"/>
      </w:pPr>
      <w:r>
        <w:rPr>
          <w:rFonts w:ascii="Calibri" w:cs="Calibri" w:eastAsia="Calibri" w:hAnsi="Calibri"/>
          <w:b/>
          <w:bCs/>
          <w:color w:val="2F5496"/>
          <w:sz w:val="28"/>
          <w:szCs w:val="28"/>
        </w:rPr>
        <w:t xml:space="preserve">Other roles in the federation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Role</w:t>
            </w:r>
          </w:p>
        </w:tc>
        <w:tc>
          <w:tcPr>
            <w:tcW w:type="dxa" w:w="66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Scope</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 Tech Lead</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How the analytics layer runs — infrastructure, deployment, performance, operational support. Peer to DD; neither reports to the other.</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Product Group Leader</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Owns the PG's domain model. Drives conformance across apps within the PG. Primary channel between Business and DD. Sponsors PG-level requirements.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App Team</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Owns the app and its generated data. Lands data into the malcode-specific schema. Maintains app code, schema DDLs, app-internal dashboards.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Business / Credit Ops</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Defines requirements. Operates the data resolution function within Business. Consumes reports and dashboards.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CDO Standards / Policies / CDM</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Enterprise standards. UC tag taxonomy. Canonical data model for the upstream domains. Central modelling team.</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Enterprise Architecture</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Cross-domain architecture standards, tooling, security, review board.</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Infrastructure / TDVIP</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Databricks platform team. Provisions workspaces, catalogs, security; not the modeller.</w:t>
            </w:r>
          </w:p>
        </w:tc>
      </w:tr>
    </w:tbl>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Terminology</w:t>
      </w:r>
    </w:p>
    <w:p>
      <w:pPr>
        <w:pBdr>
          <w:left w:val="single" w:color="B0B0B0" w:sz="18" w:space="12"/>
        </w:pBdr>
        <w:spacing w:after="200" w:before="100" w:line="300"/>
        <w:ind w:left="200"/>
      </w:pPr>
      <w:r>
        <w:rPr>
          <w:rFonts w:ascii="Calibri" w:cs="Calibri" w:eastAsia="Calibri" w:hAnsi="Calibri"/>
          <w:i/>
          <w:iCs/>
          <w:color w:val="555555"/>
          <w:sz w:val="22"/>
          <w:szCs w:val="22"/>
        </w:rPr>
        <w:t xml:space="preserve">Use these terms consistently. Define each term the first time it appears in any artifact aimed at app teams or business audiences.</w:t>
      </w:r>
    </w:p>
    <w:p>
      <w:pPr>
        <w:pStyle w:val="Heading2"/>
        <w:spacing w:after="160" w:before="320"/>
      </w:pPr>
      <w:r>
        <w:rPr>
          <w:rFonts w:ascii="Calibri" w:cs="Calibri" w:eastAsia="Calibri" w:hAnsi="Calibri"/>
          <w:b/>
          <w:bCs/>
          <w:color w:val="2F5496"/>
          <w:sz w:val="28"/>
          <w:szCs w:val="28"/>
        </w:rPr>
        <w:t xml:space="preserve">Core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Term</w:t>
            </w:r>
          </w:p>
        </w:tc>
        <w:tc>
          <w:tcPr>
            <w:tcW w:type="dxa" w:w="66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Definition</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CDM (Canonical Data Model)</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enterprise canonical data model for TDS. Twelve domains in a defined sequence. Risk owns Domain #5.</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Risk Domain Model</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Risk's contribution to CDM Domain #5. A connected model of derived data and metrics produced by Risk, composed of the four Product Group models.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Product Group (PG)</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grouping of related Risk apps. Four PGs: Credit Risk, Market Risk, Liquidity, Finance.</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Malcode-specific schema</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Databricks schema named after one application's malcode (e.g. creditrisk.xvala). One per app.</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Schema resolution</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build-up from app-level schema (A) → PG-level data model (B) → Risk Domain Model (C).</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 copy only by design</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Databricks artifacts default to views. Physical copies only where the contract or implementation requires.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Data Product</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governed, contracted dataset designed for consumption. Owner + contract + SLA + change policy.</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Contract</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Machine-readable specification of what a data product means and how it can be used. YAML in Git.</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Dimension</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Something the data is sliced by — counterparty, trade, currency, time bucket. A conformed dimension means the same thing wherever used.</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Measure</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numerical value being analysed — exposure, PFE, CVA, collateral. Each measure has an aggregation rule.</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Grain</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level of detail one row represents in a fact table.</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Conformed</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Same entity / key / hierarchy means the same thing wherever it appears.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Curated</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Reorganised and aggregated for analytical use.</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Governed</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Subject to rules, ownership, change management, quality controls.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Semantic Layer</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Component that enforces contract rules at query time. Aggregation rules declared once, applied automatically.</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Entity</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real-world thing — counterparty, trade, agreement.</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Domain Model</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Blueprint of how entities relate. Risk Domain Model nests as App footprint → PG model → Risk Domain Model.</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Star Schema</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 table joined to dimensions. Multiple facts sharing dimensions = galaxy schema or fact constellation.</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360-style product</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Layered set of datasets, not one wide table. Layer 1 summary, Layer 2 atomic drill-downs, Layer 3 BI orchestration.</w:t>
            </w:r>
          </w:p>
        </w:tc>
      </w:tr>
    </w:tbl>
    <w:p>
      <w:pPr>
        <w:pStyle w:val="Heading2"/>
        <w:spacing w:after="160" w:before="320"/>
      </w:pPr>
      <w:r>
        <w:rPr>
          <w:rFonts w:ascii="Calibri" w:cs="Calibri" w:eastAsia="Calibri" w:hAnsi="Calibri"/>
          <w:b/>
          <w:bCs/>
          <w:color w:val="2F5496"/>
          <w:sz w:val="28"/>
          <w:szCs w:val="28"/>
        </w:rPr>
        <w:t xml:space="preserve">Risk-specific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Term</w:t>
            </w:r>
          </w:p>
        </w:tc>
        <w:tc>
          <w:tcPr>
            <w:tcW w:type="dxa" w:w="75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Meaning</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PFE</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Potential Future Exposure — high-percentile (typically 97.5th) of future counterparty exposure. Non-additive across counterparties.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EE / EPE</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Expected Exposure / Expected Positive Exposure — average future exposure. Used in CVA calculation.</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CVA</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Credit Valuation Adjustment — risk that the counterparty defaults.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DVA</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Debit Valuation Adjustment — risk that the bank itself defaults.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FVA</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Funding Valuation Adjustment — cost of funding uncollateralised exposure.</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KVA</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Capital Valuation Adjustment — cost of regulatory capital.</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MVA</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Margin Valuation Adjustment — cost of posting Initial Margin.</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SA-CCR</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Standardised Approach for Counterparty Credit Risk — Basel regulatory capital methodology.</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EAD</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Exposure at Default — used in regulatory capital.</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VaR / SVaR</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Value at Risk / Stressed VaR. Maximum expected loss at a confidence level over a horizon.</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SIMM</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Standard Initial Margin Model — ISDA model used to calculate IM for non-cleared derivatives.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ISDA / CSA</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ISDA Master Agreement / Credit Support Annex — bilateral derivatives netting and collateral terms.</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Netting set</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 group of trades under a single legal agreement that nets at default.</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VM / IM</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Variation Margin (daily MTM exchange) / Initial Margin (insurance buffer).</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FR2052a</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US regulatory liquidity report submitted to the Fed.</w:t>
            </w:r>
          </w:p>
        </w:tc>
      </w:tr>
      <w:tr>
        <w:tc>
          <w:tcPr>
            <w:tcW w:type="dxa" w:w="18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BCBS 239</w:t>
            </w:r>
          </w:p>
        </w:tc>
        <w:tc>
          <w:tcPr>
            <w:tcW w:type="dxa" w:w="75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Basel principles for risk data aggregation and reporting.</w:t>
            </w:r>
          </w:p>
        </w:tc>
      </w:tr>
    </w:tbl>
    <w:p>
      <w:pPr>
        <w:pStyle w:val="Heading2"/>
        <w:spacing w:after="160" w:before="320"/>
      </w:pPr>
      <w:r>
        <w:rPr>
          <w:rFonts w:ascii="Calibri" w:cs="Calibri" w:eastAsia="Calibri" w:hAnsi="Calibri"/>
          <w:b/>
          <w:bCs/>
          <w:color w:val="2F5496"/>
          <w:sz w:val="28"/>
          <w:szCs w:val="28"/>
        </w:rPr>
        <w:t xml:space="preserve">Aliases — when these come up, treat them as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Term</w:t>
            </w:r>
          </w:p>
        </w:tc>
        <w:tc>
          <w:tcPr>
            <w:tcW w:type="dxa" w:w="57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Equivalent to</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Source of truth</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Authoritative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Golden source</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Authoritative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Galaxy schema</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Fact constellation</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Bronze / Silver / Gold</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Medallion layers (lakehouse)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Conformed dimension</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Shared dimension, common dimension</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app schema</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Malcode-specific schema</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XVALA</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Phoenix</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CMOS</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Colline</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CRS</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SCREAM</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REGDS</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TAMS</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INF</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Infinity (also TRAO)</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RCAPS</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VS / Valuation Service</w:t>
            </w:r>
          </w:p>
        </w:tc>
      </w:tr>
    </w:tbl>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Principles and Patterns</w:t>
      </w:r>
    </w:p>
    <w:p>
      <w:pPr>
        <w:pStyle w:val="Heading2"/>
        <w:spacing w:after="160" w:before="320"/>
      </w:pPr>
      <w:r>
        <w:rPr>
          <w:rFonts w:ascii="Calibri" w:cs="Calibri" w:eastAsia="Calibri" w:hAnsi="Calibri"/>
          <w:b/>
          <w:bCs/>
          <w:color w:val="2F5496"/>
          <w:sz w:val="28"/>
          <w:szCs w:val="28"/>
        </w:rPr>
        <w:t xml:space="preserve">Core principles</w:t>
      </w:r>
    </w:p>
    <w:p>
      <w:pPr>
        <w:pStyle w:val="ListParagraph"/>
        <w:numPr>
          <w:ilvl w:val="0"/>
          <w:numId w:val="2"/>
        </w:numPr>
        <w:spacing w:after="60" w:before="60" w:line="280"/>
      </w:pPr>
      <w:r>
        <w:rPr>
          <w:rFonts w:ascii="Calibri" w:cs="Calibri" w:eastAsia="Calibri" w:hAnsi="Calibri"/>
          <w:sz w:val="22"/>
          <w:szCs w:val="22"/>
        </w:rPr>
        <w:t xml:space="preserve">DD authors what is analytics-specific. Apps own their raw data. Central owns canonical models. PG Leader owns Risk-domain modelling. DD owns the analytics layer specifically.</w:t>
      </w:r>
    </w:p>
    <w:p>
      <w:pPr>
        <w:pStyle w:val="ListParagraph"/>
        <w:numPr>
          <w:ilvl w:val="0"/>
          <w:numId w:val="2"/>
        </w:numPr>
        <w:spacing w:after="60" w:before="60" w:line="280"/>
      </w:pPr>
      <w:r>
        <w:rPr>
          <w:rFonts w:ascii="Calibri" w:cs="Calibri" w:eastAsia="Calibri" w:hAnsi="Calibri"/>
          <w:sz w:val="22"/>
          <w:szCs w:val="22"/>
        </w:rPr>
        <w:t xml:space="preserve">DD and Tech Lead are peers. DD = what the data means. Tech Lead = how it runs. Neither reports to the other.</w:t>
      </w:r>
    </w:p>
    <w:p>
      <w:pPr>
        <w:pStyle w:val="ListParagraph"/>
        <w:numPr>
          <w:ilvl w:val="0"/>
          <w:numId w:val="2"/>
        </w:numPr>
        <w:spacing w:after="60" w:before="60" w:line="280"/>
      </w:pPr>
      <w:r>
        <w:rPr>
          <w:rFonts w:ascii="Calibri" w:cs="Calibri" w:eastAsia="Calibri" w:hAnsi="Calibri"/>
          <w:sz w:val="22"/>
          <w:szCs w:val="22"/>
        </w:rPr>
        <w:t xml:space="preserve">Discovery is celebrated; promotion is the standard. App teams building quick dashboards on app data is good — it identifies real consumer needs. Discovery dashboards graduate into governed analytics products. Discovery is not forbidden.</w:t>
      </w:r>
    </w:p>
    <w:p>
      <w:pPr>
        <w:pStyle w:val="ListParagraph"/>
        <w:numPr>
          <w:ilvl w:val="0"/>
          <w:numId w:val="2"/>
        </w:numPr>
        <w:spacing w:after="60" w:before="60" w:line="280"/>
      </w:pPr>
      <w:r>
        <w:rPr>
          <w:rFonts w:ascii="Calibri" w:cs="Calibri" w:eastAsia="Calibri" w:hAnsi="Calibri"/>
          <w:sz w:val="22"/>
          <w:szCs w:val="22"/>
        </w:rPr>
        <w:t xml:space="preserve">Apps are not asked to change. The analytics layer reverse-engineers what it needs from what apps land, plus app logic knowledge.</w:t>
      </w:r>
    </w:p>
    <w:p>
      <w:pPr>
        <w:pStyle w:val="ListParagraph"/>
        <w:numPr>
          <w:ilvl w:val="0"/>
          <w:numId w:val="2"/>
        </w:numPr>
        <w:spacing w:after="60" w:before="60" w:line="280"/>
      </w:pPr>
      <w:r>
        <w:rPr>
          <w:rFonts w:ascii="Calibri" w:cs="Calibri" w:eastAsia="Calibri" w:hAnsi="Calibri"/>
          <w:sz w:val="22"/>
          <w:szCs w:val="22"/>
        </w:rPr>
        <w:t xml:space="preserve">Consumers connect to riskwh only. Direct connections to malcode-specific schemas are not supported.</w:t>
      </w:r>
    </w:p>
    <w:p>
      <w:pPr>
        <w:pStyle w:val="ListParagraph"/>
        <w:numPr>
          <w:ilvl w:val="0"/>
          <w:numId w:val="2"/>
        </w:numPr>
        <w:spacing w:after="60" w:before="60" w:line="280"/>
      </w:pPr>
      <w:r>
        <w:rPr>
          <w:rFonts w:ascii="Calibri" w:cs="Calibri" w:eastAsia="Calibri" w:hAnsi="Calibri"/>
          <w:sz w:val="22"/>
          <w:szCs w:val="22"/>
        </w:rPr>
        <w:t xml:space="preserve">Data copy only by design. Default is views; physical copies are an implementation choice driven by the contract.</w:t>
      </w:r>
    </w:p>
    <w:p>
      <w:pPr>
        <w:pStyle w:val="ListParagraph"/>
        <w:numPr>
          <w:ilvl w:val="0"/>
          <w:numId w:val="2"/>
        </w:numPr>
        <w:spacing w:after="60" w:before="60" w:line="280"/>
      </w:pPr>
      <w:r>
        <w:rPr>
          <w:rFonts w:ascii="Calibri" w:cs="Calibri" w:eastAsia="Calibri" w:hAnsi="Calibri"/>
          <w:sz w:val="22"/>
          <w:szCs w:val="22"/>
        </w:rPr>
        <w:t xml:space="preserve">Producer responsibility: producers MUST provide data models, definitions, datatypes, lineage, relationships. If they don't, the burden of reverse-engineering falls on consumers — and the contract template forces that conversation upfront.</w:t>
      </w:r>
    </w:p>
    <w:p>
      <w:pPr>
        <w:pStyle w:val="Heading2"/>
        <w:spacing w:after="160" w:before="320"/>
      </w:pPr>
      <w:r>
        <w:rPr>
          <w:rFonts w:ascii="Calibri" w:cs="Calibri" w:eastAsia="Calibri" w:hAnsi="Calibri"/>
          <w:b/>
          <w:bCs/>
          <w:color w:val="2F5496"/>
          <w:sz w:val="28"/>
          <w:szCs w:val="28"/>
        </w:rPr>
        <w:t xml:space="preserve">The 360-style product pattern</w:t>
      </w:r>
    </w:p>
    <w:p>
      <w:pPr>
        <w:spacing w:after="100" w:before="100" w:line="300"/>
      </w:pPr>
      <w:r>
        <w:rPr>
          <w:rFonts w:ascii="Calibri" w:cs="Calibri" w:eastAsia="Calibri" w:hAnsi="Calibri"/>
          <w:sz w:val="22"/>
          <w:szCs w:val="22"/>
        </w:rPr>
        <w:t xml:space="preserve">A 360 is a layered set of datasets, not one wide table. Each layer plays a different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w:t>
            </w:r>
          </w:p>
        </w:tc>
        <w:tc>
          <w:tcPr>
            <w:tcW w:type="dxa" w:w="432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Contents</w:t>
            </w:r>
          </w:p>
        </w:tc>
        <w:tc>
          <w:tcPr>
            <w:tcW w:type="dxa" w:w="288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Behaviour</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1 — Summary</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One row per entity per date. Pre-summarised headlines.</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Loads instantly. Powers the summary panel.</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2 — Atomic drill-downs</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Several products at native levels of detail (trades, exposure, sensitivities, collateral, stress, limits).</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Linked by entity key. Loaded on demand when a tab is opened.</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Layer 3 — BI orchestration</w:t>
            </w:r>
          </w:p>
        </w:tc>
        <w:tc>
          <w:tcPr>
            <w:tcW w:type="dxa" w:w="432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The BI tool composes Layer 1 and Layer 2.</w:t>
            </w:r>
          </w:p>
        </w:tc>
        <w:tc>
          <w:tcPr>
            <w:tcW w:type="dxa" w:w="288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Summary loads first; drill-downs load on demand.</w:t>
            </w:r>
          </w:p>
        </w:tc>
      </w:tr>
    </w:tbl>
    <w:p>
      <w:pPr>
        <w:spacing w:after="100" w:before="100" w:line="300"/>
      </w:pPr>
      <w:r>
        <w:rPr>
          <w:rFonts w:ascii="Calibri" w:cs="Calibri" w:eastAsia="Calibri" w:hAnsi="Calibri"/>
          <w:sz w:val="22"/>
          <w:szCs w:val="22"/>
        </w:rPr>
        <w:t xml:space="preserve">Counterparty 360 is the worked example. The same pattern applies to agreement 360, portfolio 360, etc.</w:t>
      </w:r>
    </w:p>
    <w:p>
      <w:pPr>
        <w:pStyle w:val="Heading2"/>
        <w:spacing w:after="160" w:before="320"/>
      </w:pPr>
      <w:r>
        <w:rPr>
          <w:rFonts w:ascii="Calibri" w:cs="Calibri" w:eastAsia="Calibri" w:hAnsi="Calibri"/>
          <w:b/>
          <w:bCs/>
          <w:color w:val="2F5496"/>
          <w:sz w:val="28"/>
          <w:szCs w:val="28"/>
        </w:rPr>
        <w:t xml:space="preserve">The 4-stage data product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Stage</w:t>
            </w:r>
          </w:p>
        </w:tc>
        <w:tc>
          <w:tcPr>
            <w:tcW w:type="dxa" w:w="39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 changes</w:t>
            </w:r>
          </w:p>
        </w:tc>
        <w:tc>
          <w:tcPr>
            <w:tcW w:type="dxa" w:w="324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Consumer experience</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Stage 0 — Raw</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Table exists. No documentation. No owner tag. No SLA.</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Business writes deep nested SQL guessing column meaning. Slow, brittle.</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Stage 1 — Governed Entity</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Same physical table. Now has column comments, table description, business-friendly column names, owner tag, recorded in Unity Catalog as discoverable.</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Findable via UC search. Column meaning readable. Still has to write deep queries. No SLA on stability.</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Stage 2 — Data Product</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Same data + a contract: explicit grain, allowed/blocked dimensions, aggregation rules, quality checks, change policy, SLA. Tagged in UC. Registered in Collibra. Versioned.</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Knows what they're getting. Can build dependent pipelines safely. Knows the rules to respect.</w:t>
            </w:r>
          </w:p>
        </w:tc>
      </w:tr>
      <w:tr>
        <w:tc>
          <w:tcPr>
            <w:tcW w:type="dxa" w:w="21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Stage 3 — Consumable Data Product</w:t>
            </w:r>
          </w:p>
        </w:tc>
        <w:tc>
          <w:tcPr>
            <w:tcW w:type="dxa" w:w="39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Same data product + a semantic layer: metric definitions in dbt or Databricks Metric Views. Aggregation enforced. Mirrored in MicroStrategy with level metrics.</w:t>
            </w:r>
          </w:p>
        </w:tc>
        <w:tc>
          <w:tcPr>
            <w:tcW w:type="dxa" w:w="324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Self-service in BI. Cannot write a query that violates grain or aggregation rules. Safe by default.</w:t>
            </w:r>
          </w:p>
        </w:tc>
      </w:tr>
    </w:tbl>
    <w:p>
      <w:pPr>
        <w:pStyle w:val="Heading2"/>
        <w:spacing w:after="160" w:before="320"/>
      </w:pPr>
      <w:r>
        <w:rPr>
          <w:rFonts w:ascii="Calibri" w:cs="Calibri" w:eastAsia="Calibri" w:hAnsi="Calibri"/>
          <w:b/>
          <w:bCs/>
          <w:color w:val="2F5496"/>
          <w:sz w:val="28"/>
          <w:szCs w:val="28"/>
        </w:rPr>
        <w:t xml:space="preserve">Tier 1 vs Tier 2 data provision</w:t>
      </w:r>
    </w:p>
    <w:p>
      <w:pPr>
        <w:spacing w:after="100" w:before="100" w:line="300"/>
      </w:pPr>
      <w:r>
        <w:rPr>
          <w:rFonts w:ascii="Calibri" w:cs="Calibri" w:eastAsia="Calibri" w:hAnsi="Calibri"/>
          <w:sz w:val="22"/>
          <w:szCs w:val="22"/>
        </w:rPr>
        <w:t xml:space="preserve">From the platform team engagement model:</w:t>
      </w:r>
    </w:p>
    <w:p>
      <w:pPr>
        <w:pStyle w:val="ListParagraph"/>
        <w:numPr>
          <w:ilvl w:val="0"/>
          <w:numId w:val="2"/>
        </w:numPr>
        <w:spacing w:after="60" w:before="60" w:line="280"/>
      </w:pPr>
      <w:r>
        <w:rPr>
          <w:rFonts w:ascii="Calibri" w:cs="Calibri" w:eastAsia="Calibri" w:hAnsi="Calibri"/>
          <w:sz w:val="22"/>
          <w:szCs w:val="22"/>
        </w:rPr>
        <w:t xml:space="preserve">Tier 1 = Common / mandatory. Trade data sourced, cleaned, common-filtered, pre-joined to counterparty master. Used by 3+ apps.</w:t>
      </w:r>
    </w:p>
    <w:p>
      <w:pPr>
        <w:pStyle w:val="ListParagraph"/>
        <w:numPr>
          <w:ilvl w:val="0"/>
          <w:numId w:val="2"/>
        </w:numPr>
        <w:spacing w:after="60" w:before="60" w:line="280"/>
      </w:pPr>
      <w:r>
        <w:rPr>
          <w:rFonts w:ascii="Calibri" w:cs="Calibri" w:eastAsia="Calibri" w:hAnsi="Calibri"/>
          <w:sz w:val="22"/>
          <w:szCs w:val="22"/>
        </w:rPr>
        <w:t xml:space="preserve">Tier 2 = Unique / app-specific. Application-specific filtering, app-specific calculations, output formatting.</w:t>
      </w:r>
    </w:p>
    <w:p>
      <w:pPr>
        <w:spacing w:after="100" w:before="100" w:line="300"/>
      </w:pPr>
      <w:r>
        <w:rPr>
          <w:rFonts w:ascii="Calibri" w:cs="Calibri" w:eastAsia="Calibri" w:hAnsi="Calibri"/>
          <w:sz w:val="22"/>
          <w:szCs w:val="22"/>
        </w:rPr>
        <w:t xml:space="preserve">Apps consume from the "grocery store" (Tier 1) where possible. Where they go direct to source, they take on the standardisation work themselves.</w:t>
      </w:r>
    </w:p>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Current State of In-Flight Work</w:t>
      </w:r>
    </w:p>
    <w:p>
      <w:pPr>
        <w:pBdr>
          <w:left w:val="single" w:color="B0B0B0" w:sz="18" w:space="12"/>
        </w:pBdr>
        <w:spacing w:after="200" w:before="100" w:line="300"/>
        <w:ind w:left="200"/>
      </w:pPr>
      <w:r>
        <w:rPr>
          <w:rFonts w:ascii="Calibri" w:cs="Calibri" w:eastAsia="Calibri" w:hAnsi="Calibri"/>
          <w:i/>
          <w:iCs/>
          <w:color w:val="555555"/>
          <w:sz w:val="22"/>
          <w:szCs w:val="22"/>
        </w:rPr>
        <w:t xml:space="preserve">Update this section as work progresses. The dates and statuses below capture the picture as of May 2026.</w:t>
      </w:r>
    </w:p>
    <w:p>
      <w:pPr>
        <w:pStyle w:val="Heading2"/>
        <w:spacing w:after="160" w:before="320"/>
      </w:pPr>
      <w:r>
        <w:rPr>
          <w:rFonts w:ascii="Calibri" w:cs="Calibri" w:eastAsia="Calibri" w:hAnsi="Calibri"/>
          <w:b/>
          <w:bCs/>
          <w:color w:val="2F5496"/>
          <w:sz w:val="28"/>
          <w:szCs w:val="28"/>
        </w:rPr>
        <w:t xml:space="preserve">Confluence space</w:t>
      </w:r>
    </w:p>
    <w:p>
      <w:pPr>
        <w:pStyle w:val="ListParagraph"/>
        <w:numPr>
          <w:ilvl w:val="0"/>
          <w:numId w:val="2"/>
        </w:numPr>
        <w:spacing w:after="60" w:before="60" w:line="280"/>
      </w:pPr>
      <w:r>
        <w:rPr>
          <w:rFonts w:ascii="Calibri" w:cs="Calibri" w:eastAsia="Calibri" w:hAnsi="Calibri"/>
          <w:sz w:val="22"/>
          <w:szCs w:val="22"/>
        </w:rPr>
        <w:t xml:space="preserve">v5 of the Risk Data Operating Model &amp; Standards Confluence content is published as a Word document for re-import into Confluence.</w:t>
      </w:r>
    </w:p>
    <w:p>
      <w:pPr>
        <w:pStyle w:val="ListParagraph"/>
        <w:numPr>
          <w:ilvl w:val="0"/>
          <w:numId w:val="2"/>
        </w:numPr>
        <w:spacing w:after="60" w:before="60" w:line="280"/>
      </w:pPr>
      <w:r>
        <w:rPr>
          <w:rFonts w:ascii="Calibri" w:cs="Calibri" w:eastAsia="Calibri" w:hAnsi="Calibri"/>
          <w:sz w:val="22"/>
          <w:szCs w:val="22"/>
        </w:rPr>
        <w:t xml:space="preserve">Pages: Risk Analytics — North Star (sibling), Risk Data — Operating Model &amp; Standards (landing), 1. Architecture &amp; Design, 2. Standards &amp; Artifacts Library, 3. Glossary &amp; Terminology, 4. Worked Example — Counterparty 360 Product, 5. Governance &amp; Cadence.</w:t>
      </w:r>
    </w:p>
    <w:p>
      <w:pPr>
        <w:pStyle w:val="Heading2"/>
        <w:spacing w:after="160" w:before="320"/>
      </w:pPr>
      <w:r>
        <w:rPr>
          <w:rFonts w:ascii="Calibri" w:cs="Calibri" w:eastAsia="Calibri" w:hAnsi="Calibri"/>
          <w:b/>
          <w:bCs/>
          <w:color w:val="2F5496"/>
          <w:sz w:val="28"/>
          <w:szCs w:val="28"/>
        </w:rPr>
        <w:t xml:space="preserve">Architecture diagrams (in PowerPoint, to be embedded in Confluence)</w:t>
      </w:r>
    </w:p>
    <w:p>
      <w:pPr>
        <w:pStyle w:val="ListParagraph"/>
        <w:numPr>
          <w:ilvl w:val="0"/>
          <w:numId w:val="2"/>
        </w:numPr>
        <w:spacing w:after="60" w:before="60" w:line="280"/>
      </w:pPr>
      <w:r>
        <w:rPr>
          <w:rFonts w:ascii="Calibri" w:cs="Calibri" w:eastAsia="Calibri" w:hAnsi="Calibri"/>
          <w:sz w:val="22"/>
          <w:szCs w:val="22"/>
        </w:rPr>
        <w:t xml:space="preserve">TDS Data Operating Model — Data Domains (12 CDM domains, Risk = #5)</w:t>
      </w:r>
    </w:p>
    <w:p>
      <w:pPr>
        <w:pStyle w:val="ListParagraph"/>
        <w:numPr>
          <w:ilvl w:val="0"/>
          <w:numId w:val="2"/>
        </w:numPr>
        <w:spacing w:after="60" w:before="60" w:line="280"/>
      </w:pPr>
      <w:r>
        <w:rPr>
          <w:rFonts w:ascii="Calibri" w:cs="Calibri" w:eastAsia="Calibri" w:hAnsi="Calibri"/>
          <w:sz w:val="22"/>
          <w:szCs w:val="22"/>
        </w:rPr>
        <w:t xml:space="preserve">Databricks Operating Model — Unified Risk Data Model (account / workspace / catalog / A→B→C resolution)</w:t>
      </w:r>
    </w:p>
    <w:p>
      <w:pPr>
        <w:pStyle w:val="ListParagraph"/>
        <w:numPr>
          <w:ilvl w:val="0"/>
          <w:numId w:val="2"/>
        </w:numPr>
        <w:spacing w:after="60" w:before="60" w:line="280"/>
      </w:pPr>
      <w:r>
        <w:rPr>
          <w:rFonts w:ascii="Calibri" w:cs="Calibri" w:eastAsia="Calibri" w:hAnsi="Calibri"/>
          <w:sz w:val="22"/>
          <w:szCs w:val="22"/>
        </w:rPr>
        <w:t xml:space="preserve">Risk Data Operating Model — Risk View vs PG View vs App View</w:t>
      </w:r>
    </w:p>
    <w:p>
      <w:pPr>
        <w:pStyle w:val="ListParagraph"/>
        <w:numPr>
          <w:ilvl w:val="0"/>
          <w:numId w:val="2"/>
        </w:numPr>
        <w:spacing w:after="60" w:before="60" w:line="280"/>
      </w:pPr>
      <w:r>
        <w:rPr>
          <w:rFonts w:ascii="Calibri" w:cs="Calibri" w:eastAsia="Calibri" w:hAnsi="Calibri"/>
          <w:sz w:val="22"/>
          <w:szCs w:val="22"/>
        </w:rPr>
        <w:t xml:space="preserve">Risk-Data / Applications / User Experience — Current &amp; New</w:t>
      </w:r>
    </w:p>
    <w:p>
      <w:pPr>
        <w:pStyle w:val="ListParagraph"/>
        <w:numPr>
          <w:ilvl w:val="0"/>
          <w:numId w:val="2"/>
        </w:numPr>
        <w:spacing w:after="60" w:before="60" w:line="280"/>
      </w:pPr>
      <w:r>
        <w:rPr>
          <w:rFonts w:ascii="Calibri" w:cs="Calibri" w:eastAsia="Calibri" w:hAnsi="Calibri"/>
          <w:sz w:val="22"/>
          <w:szCs w:val="22"/>
        </w:rPr>
        <w:t xml:space="preserve">Risk Data Journey (6 stages)</w:t>
      </w:r>
    </w:p>
    <w:p>
      <w:pPr>
        <w:pStyle w:val="ListParagraph"/>
        <w:numPr>
          <w:ilvl w:val="0"/>
          <w:numId w:val="2"/>
        </w:numPr>
        <w:spacing w:after="60" w:before="60" w:line="280"/>
      </w:pPr>
      <w:r>
        <w:rPr>
          <w:rFonts w:ascii="Calibri" w:cs="Calibri" w:eastAsia="Calibri" w:hAnsi="Calibri"/>
          <w:sz w:val="22"/>
          <w:szCs w:val="22"/>
        </w:rPr>
        <w:t xml:space="preserve">Today vs Future State</w:t>
      </w:r>
    </w:p>
    <w:p>
      <w:pPr>
        <w:pStyle w:val="ListParagraph"/>
        <w:numPr>
          <w:ilvl w:val="0"/>
          <w:numId w:val="2"/>
        </w:numPr>
        <w:spacing w:after="60" w:before="60" w:line="280"/>
      </w:pPr>
      <w:r>
        <w:rPr>
          <w:rFonts w:ascii="Calibri" w:cs="Calibri" w:eastAsia="Calibri" w:hAnsi="Calibri"/>
          <w:sz w:val="22"/>
          <w:szCs w:val="22"/>
        </w:rPr>
        <w:t xml:space="preserve">Artifact Types</w:t>
      </w:r>
    </w:p>
    <w:p>
      <w:pPr>
        <w:pStyle w:val="ListParagraph"/>
        <w:numPr>
          <w:ilvl w:val="0"/>
          <w:numId w:val="2"/>
        </w:numPr>
        <w:spacing w:after="60" w:before="60" w:line="280"/>
      </w:pPr>
      <w:r>
        <w:rPr>
          <w:rFonts w:ascii="Calibri" w:cs="Calibri" w:eastAsia="Calibri" w:hAnsi="Calibri"/>
          <w:sz w:val="22"/>
          <w:szCs w:val="22"/>
        </w:rPr>
        <w:t xml:space="preserve">Code &amp; Update Behaviours</w:t>
      </w:r>
    </w:p>
    <w:p>
      <w:pPr>
        <w:pStyle w:val="ListParagraph"/>
        <w:numPr>
          <w:ilvl w:val="0"/>
          <w:numId w:val="2"/>
        </w:numPr>
        <w:spacing w:after="60" w:before="60" w:line="280"/>
      </w:pPr>
      <w:r>
        <w:rPr>
          <w:rFonts w:ascii="Calibri" w:cs="Calibri" w:eastAsia="Calibri" w:hAnsi="Calibri"/>
          <w:sz w:val="22"/>
          <w:szCs w:val="22"/>
        </w:rPr>
        <w:t xml:space="preserve">360-style Layered Architecture</w:t>
      </w:r>
    </w:p>
    <w:p>
      <w:pPr>
        <w:pStyle w:val="Heading2"/>
        <w:spacing w:after="160" w:before="320"/>
      </w:pPr>
      <w:r>
        <w:rPr>
          <w:rFonts w:ascii="Calibri" w:cs="Calibri" w:eastAsia="Calibri" w:hAnsi="Calibri"/>
          <w:b/>
          <w:bCs/>
          <w:color w:val="2F5496"/>
          <w:sz w:val="28"/>
          <w:szCs w:val="28"/>
        </w:rPr>
        <w:t xml:space="preserve">Templates in DRAFT v1</w:t>
      </w:r>
    </w:p>
    <w:p>
      <w:pPr>
        <w:pStyle w:val="ListParagraph"/>
        <w:numPr>
          <w:ilvl w:val="0"/>
          <w:numId w:val="2"/>
        </w:numPr>
        <w:spacing w:after="60" w:before="60" w:line="280"/>
      </w:pPr>
      <w:r>
        <w:rPr>
          <w:rFonts w:ascii="Calibri" w:cs="Calibri" w:eastAsia="Calibri" w:hAnsi="Calibri"/>
          <w:sz w:val="22"/>
          <w:szCs w:val="22"/>
        </w:rPr>
        <w:t xml:space="preserve">Data Product Onboarding Form</w:t>
      </w:r>
    </w:p>
    <w:p>
      <w:pPr>
        <w:pStyle w:val="ListParagraph"/>
        <w:numPr>
          <w:ilvl w:val="0"/>
          <w:numId w:val="2"/>
        </w:numPr>
        <w:spacing w:after="60" w:before="60" w:line="280"/>
      </w:pPr>
      <w:r>
        <w:rPr>
          <w:rFonts w:ascii="Calibri" w:cs="Calibri" w:eastAsia="Calibri" w:hAnsi="Calibri"/>
          <w:sz w:val="22"/>
          <w:szCs w:val="22"/>
        </w:rPr>
        <w:t xml:space="preserve">Data Contract Template (YAML)</w:t>
      </w:r>
    </w:p>
    <w:p>
      <w:pPr>
        <w:pStyle w:val="ListParagraph"/>
        <w:numPr>
          <w:ilvl w:val="0"/>
          <w:numId w:val="2"/>
        </w:numPr>
        <w:spacing w:after="60" w:before="60" w:line="280"/>
      </w:pPr>
      <w:r>
        <w:rPr>
          <w:rFonts w:ascii="Calibri" w:cs="Calibri" w:eastAsia="Calibri" w:hAnsi="Calibri"/>
          <w:sz w:val="22"/>
          <w:szCs w:val="22"/>
        </w:rPr>
        <w:t xml:space="preserve">Unity Catalog Tag Standards (raw-zone + analytics-zone)</w:t>
      </w:r>
    </w:p>
    <w:p>
      <w:pPr>
        <w:pStyle w:val="ListParagraph"/>
        <w:numPr>
          <w:ilvl w:val="0"/>
          <w:numId w:val="2"/>
        </w:numPr>
        <w:spacing w:after="60" w:before="60" w:line="280"/>
      </w:pPr>
      <w:r>
        <w:rPr>
          <w:rFonts w:ascii="Calibri" w:cs="Calibri" w:eastAsia="Calibri" w:hAnsi="Calibri"/>
          <w:sz w:val="22"/>
          <w:szCs w:val="22"/>
        </w:rPr>
        <w:t xml:space="preserve">Schema and Catalog Design Standard</w:t>
      </w:r>
    </w:p>
    <w:p>
      <w:pPr>
        <w:pStyle w:val="ListParagraph"/>
        <w:numPr>
          <w:ilvl w:val="0"/>
          <w:numId w:val="2"/>
        </w:numPr>
        <w:spacing w:after="60" w:before="60" w:line="280"/>
      </w:pPr>
      <w:r>
        <w:rPr>
          <w:rFonts w:ascii="Calibri" w:cs="Calibri" w:eastAsia="Calibri" w:hAnsi="Calibri"/>
          <w:sz w:val="22"/>
          <w:szCs w:val="22"/>
        </w:rPr>
        <w:t xml:space="preserve">Semantic Layer Definition Template</w:t>
      </w:r>
    </w:p>
    <w:p>
      <w:pPr>
        <w:pStyle w:val="Heading2"/>
        <w:spacing w:after="160" w:before="320"/>
      </w:pPr>
      <w:r>
        <w:rPr>
          <w:rFonts w:ascii="Calibri" w:cs="Calibri" w:eastAsia="Calibri" w:hAnsi="Calibri"/>
          <w:b/>
          <w:bCs/>
          <w:color w:val="2F5496"/>
          <w:sz w:val="28"/>
          <w:szCs w:val="28"/>
        </w:rPr>
        <w:t xml:space="preserve">Cross-PG conformance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PG</w:t>
            </w:r>
          </w:p>
        </w:tc>
        <w:tc>
          <w:tcPr>
            <w:tcW w:type="dxa" w:w="57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Conformance status</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Credit Risk</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 build — XVALA / CMOS / TCC / CRS / REGDS</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Market Risk</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Pending</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Liquidity</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Pending</w:t>
            </w:r>
          </w:p>
        </w:tc>
      </w:tr>
      <w:tr>
        <w:tc>
          <w:tcPr>
            <w:tcW w:type="dxa" w:w="36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Finance</w:t>
            </w:r>
          </w:p>
        </w:tc>
        <w:tc>
          <w:tcPr>
            <w:tcW w:type="dxa" w:w="57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Pending</w:t>
            </w:r>
          </w:p>
        </w:tc>
      </w:tr>
    </w:tbl>
    <w:p>
      <w:pPr>
        <w:pStyle w:val="Heading2"/>
        <w:spacing w:after="160" w:before="320"/>
      </w:pPr>
      <w:r>
        <w:rPr>
          <w:rFonts w:ascii="Calibri" w:cs="Calibri" w:eastAsia="Calibri" w:hAnsi="Calibri"/>
          <w:b/>
          <w:bCs/>
          <w:color w:val="2F5496"/>
          <w:sz w:val="28"/>
          <w:szCs w:val="28"/>
        </w:rPr>
        <w:t xml:space="preserve">Risk Domain Model status</w:t>
      </w:r>
    </w:p>
    <w:p>
      <w:pPr>
        <w:spacing w:after="100" w:before="100" w:line="300"/>
      </w:pPr>
      <w:r>
        <w:rPr>
          <w:rFonts w:ascii="Calibri" w:cs="Calibri" w:eastAsia="Calibri" w:hAnsi="Calibri"/>
          <w:sz w:val="22"/>
          <w:szCs w:val="22"/>
        </w:rPr>
        <w:t xml:space="preserve">Pending. Will resolve from the four PG models once each PG model is established.</w:t>
      </w:r>
    </w:p>
    <w:p>
      <w:pPr>
        <w:pStyle w:val="Heading2"/>
        <w:spacing w:after="160" w:before="320"/>
      </w:pPr>
      <w:r>
        <w:rPr>
          <w:rFonts w:ascii="Calibri" w:cs="Calibri" w:eastAsia="Calibri" w:hAnsi="Calibri"/>
          <w:b/>
          <w:bCs/>
          <w:color w:val="2F5496"/>
          <w:sz w:val="28"/>
          <w:szCs w:val="28"/>
        </w:rPr>
        <w:t xml:space="preserve">Known migrations and parallel systems</w:t>
      </w:r>
    </w:p>
    <w:p>
      <w:pPr>
        <w:pStyle w:val="ListParagraph"/>
        <w:numPr>
          <w:ilvl w:val="0"/>
          <w:numId w:val="2"/>
        </w:numPr>
        <w:spacing w:after="60" w:before="60" w:line="280"/>
      </w:pPr>
      <w:r>
        <w:rPr>
          <w:rFonts w:ascii="Calibri" w:cs="Calibri" w:eastAsia="Calibri" w:hAnsi="Calibri"/>
          <w:sz w:val="22"/>
          <w:szCs w:val="22"/>
        </w:rPr>
        <w:t xml:space="preserve">CRS / SCREAM → XVALA: progressive product-by-product migration. Both systems run in parallel today.</w:t>
      </w:r>
    </w:p>
    <w:p>
      <w:pPr>
        <w:pStyle w:val="ListParagraph"/>
        <w:numPr>
          <w:ilvl w:val="0"/>
          <w:numId w:val="2"/>
        </w:numPr>
        <w:spacing w:after="60" w:before="60" w:line="280"/>
      </w:pPr>
      <w:r>
        <w:rPr>
          <w:rFonts w:ascii="Calibri" w:cs="Calibri" w:eastAsia="Calibri" w:hAnsi="Calibri"/>
          <w:sz w:val="22"/>
          <w:szCs w:val="22"/>
        </w:rPr>
        <w:t xml:space="preserve">Credit-counterparty breach workflow: TCC → CRA → GMC manual today; TCC → Infinity automated workflow in build.</w:t>
      </w:r>
    </w:p>
    <w:p>
      <w:pPr>
        <w:pStyle w:val="Heading2"/>
        <w:spacing w:after="160" w:before="320"/>
      </w:pPr>
      <w:r>
        <w:rPr>
          <w:rFonts w:ascii="Calibri" w:cs="Calibri" w:eastAsia="Calibri" w:hAnsi="Calibri"/>
          <w:b/>
          <w:bCs/>
          <w:color w:val="2F5496"/>
          <w:sz w:val="28"/>
          <w:szCs w:val="28"/>
        </w:rPr>
        <w:t xml:space="preserve">Reena's role and context</w:t>
      </w:r>
    </w:p>
    <w:p>
      <w:pPr>
        <w:pStyle w:val="ListParagraph"/>
        <w:numPr>
          <w:ilvl w:val="0"/>
          <w:numId w:val="2"/>
        </w:numPr>
        <w:spacing w:after="60" w:before="60" w:line="280"/>
      </w:pPr>
      <w:r>
        <w:rPr>
          <w:rFonts w:ascii="Calibri" w:cs="Calibri" w:eastAsia="Calibri" w:hAnsi="Calibri"/>
          <w:sz w:val="22"/>
          <w:szCs w:val="22"/>
        </w:rPr>
        <w:t xml:space="preserve">Reena is currently the Risk Data Director (DD) at TDS — an emerging individual-contributor role.</w:t>
      </w:r>
    </w:p>
    <w:p>
      <w:pPr>
        <w:pStyle w:val="ListParagraph"/>
        <w:numPr>
          <w:ilvl w:val="0"/>
          <w:numId w:val="2"/>
        </w:numPr>
        <w:spacing w:after="60" w:before="60" w:line="280"/>
      </w:pPr>
      <w:r>
        <w:rPr>
          <w:rFonts w:ascii="Calibri" w:cs="Calibri" w:eastAsia="Calibri" w:hAnsi="Calibri"/>
          <w:sz w:val="22"/>
          <w:szCs w:val="22"/>
        </w:rPr>
        <w:t xml:space="preserve">Authors the architecture, standards, and templates for the analytics layer.</w:t>
      </w:r>
    </w:p>
    <w:p>
      <w:pPr>
        <w:pStyle w:val="ListParagraph"/>
        <w:numPr>
          <w:ilvl w:val="0"/>
          <w:numId w:val="2"/>
        </w:numPr>
        <w:spacing w:after="60" w:before="60" w:line="280"/>
      </w:pPr>
      <w:r>
        <w:rPr>
          <w:rFonts w:ascii="Calibri" w:cs="Calibri" w:eastAsia="Calibri" w:hAnsi="Calibri"/>
          <w:sz w:val="22"/>
          <w:szCs w:val="22"/>
        </w:rPr>
        <w:t xml:space="preserve">Works through the Risk Tech Lead and through App teams (no direct reports).</w:t>
      </w:r>
    </w:p>
    <w:p>
      <w:pPr>
        <w:pStyle w:val="ListParagraph"/>
        <w:numPr>
          <w:ilvl w:val="0"/>
          <w:numId w:val="2"/>
        </w:numPr>
        <w:spacing w:after="60" w:before="60" w:line="280"/>
      </w:pPr>
      <w:r>
        <w:rPr>
          <w:rFonts w:ascii="Calibri" w:cs="Calibri" w:eastAsia="Calibri" w:hAnsi="Calibri"/>
          <w:sz w:val="22"/>
          <w:szCs w:val="22"/>
        </w:rPr>
        <w:t xml:space="preserve">Convenes architecture sessions across PGs, App teams, and CDO.</w:t>
      </w:r>
    </w:p>
    <w:p>
      <w:pPr>
        <w:pStyle w:val="ListParagraph"/>
        <w:numPr>
          <w:ilvl w:val="0"/>
          <w:numId w:val="2"/>
        </w:numPr>
        <w:spacing w:after="60" w:before="60" w:line="280"/>
      </w:pPr>
      <w:r>
        <w:rPr>
          <w:rFonts w:ascii="Calibri" w:cs="Calibri" w:eastAsia="Calibri" w:hAnsi="Calibri"/>
          <w:sz w:val="22"/>
          <w:szCs w:val="22"/>
        </w:rPr>
        <w:t xml:space="preserve">Reports indicate underutilisation in current scope; profile is broader than the current role allows for.</w:t>
      </w:r>
    </w:p>
    <w:p>
      <w:pPr>
        <w:pStyle w:val="ListParagraph"/>
        <w:numPr>
          <w:ilvl w:val="0"/>
          <w:numId w:val="2"/>
        </w:numPr>
        <w:spacing w:after="60" w:before="60" w:line="280"/>
      </w:pPr>
      <w:r>
        <w:rPr>
          <w:rFonts w:ascii="Calibri" w:cs="Calibri" w:eastAsia="Calibri" w:hAnsi="Calibri"/>
          <w:sz w:val="22"/>
          <w:szCs w:val="22"/>
        </w:rPr>
        <w:t xml:space="preserve">Industry-standard equivalents at major banks: VP to ED/MD level in CDAO, Engineering Platform, or Risk Data functions.</w:t>
      </w:r>
    </w:p>
    <w:p>
      <w:r>
        <w:br w:type="page"/>
      </w:r>
    </w:p>
    <w:p>
      <w:pPr>
        <w:pStyle w:val="Heading1"/>
        <w:pBdr>
          <w:bottom w:val="single" w:color="1F3864" w:sz="12" w:space="4"/>
        </w:pBdr>
        <w:spacing w:after="200" w:before="400"/>
      </w:pPr>
      <w:r>
        <w:rPr>
          <w:rFonts w:ascii="Calibri" w:cs="Calibri" w:eastAsia="Calibri" w:hAnsi="Calibri"/>
          <w:b/>
          <w:bCs/>
          <w:color w:val="1F3864"/>
          <w:sz w:val="36"/>
          <w:szCs w:val="36"/>
        </w:rPr>
        <w:t xml:space="preserve">How to Help Reena Effectively</w:t>
      </w:r>
    </w:p>
    <w:p>
      <w:pPr>
        <w:pStyle w:val="Heading2"/>
        <w:spacing w:after="160" w:before="320"/>
      </w:pPr>
      <w:r>
        <w:rPr>
          <w:rFonts w:ascii="Calibri" w:cs="Calibri" w:eastAsia="Calibri" w:hAnsi="Calibri"/>
          <w:b/>
          <w:bCs/>
          <w:color w:val="2F5496"/>
          <w:sz w:val="28"/>
          <w:szCs w:val="28"/>
        </w:rPr>
        <w:t xml:space="preserve">Common request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Request</w:t>
            </w:r>
          </w:p>
        </w:tc>
        <w:tc>
          <w:tcPr>
            <w:tcW w:type="dxa" w:w="6660"/>
            <w:tcBorders>
              <w:top w:val="single" w:color="595959" w:sz="8"/>
              <w:left w:val="single" w:color="595959" w:sz="8"/>
              <w:bottom w:val="single" w:color="595959" w:sz="8"/>
              <w:right w:val="single" w:color="595959" w:sz="8"/>
            </w:tcBorders>
            <w:shd w:fill="E8E8E8" w:color="auto" w:val="clear"/>
            <w:tcMar>
              <w:top w:type="dxa" w:w="100"/>
              <w:left w:type="dxa" w:w="140"/>
              <w:bottom w:type="dxa" w:w="100"/>
              <w:right w:type="dxa" w:w="140"/>
            </w:tcMar>
          </w:tcPr>
          <w:p>
            <w:pPr>
              <w:spacing w:after="40" w:before="40" w:line="280"/>
            </w:pPr>
            <w:r>
              <w:rPr>
                <w:rFonts w:ascii="Calibri" w:cs="Calibri" w:eastAsia="Calibri" w:hAnsi="Calibri"/>
                <w:b/>
                <w:bCs/>
                <w:sz w:val="22"/>
                <w:szCs w:val="22"/>
              </w:rPr>
              <w:t xml:space="preserve">What's usually needed</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Confluence page / content</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Plain industry voice. Short sentences. Define jargon. Anchor each page to the bigger picture (North Star / Risk Domain Model). Use tables for structured content; prose for narrative.</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PowerPoint deck</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Industry-grade design. Concise titles. Each slide one idea. Avoid AI-generated aesthetic. Read the pptx skill before building.</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Word document</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Read the docx skill first. Use industry-standard formatting: dark borders on tables, grey header fills, consistent heading hierarchy.</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Email or message</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Multiple strategic options where stakes are high. Different approaches, different tradeoffs.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Architecture diagram</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Reflect the actual landscape (apps, catalogs, schemas, resolution path). Use Mermaid or SVG. Not generic boxes.</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Template / standard</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DRAFT v1 status. Concrete examples (use real Risk app names and metrics). YAML where machine-readable.</w:t>
            </w:r>
          </w:p>
        </w:tc>
      </w:tr>
      <w:tr>
        <w:tc>
          <w:tcPr>
            <w:tcW w:type="dxa" w:w="270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Strategic positioning</w:t>
            </w:r>
          </w:p>
        </w:tc>
        <w:tc>
          <w:tcPr>
            <w:tcW w:type="dxa" w:w="6660"/>
            <w:tcBorders>
              <w:top w:val="single" w:color="595959" w:sz="8"/>
              <w:left w:val="single" w:color="595959" w:sz="8"/>
              <w:bottom w:val="single" w:color="595959" w:sz="8"/>
              <w:right w:val="single" w:color="595959" w:sz="8"/>
            </w:tcBorders>
            <w:tcMar>
              <w:top w:type="dxa" w:w="100"/>
              <w:left w:type="dxa" w:w="140"/>
              <w:bottom w:type="dxa" w:w="100"/>
              <w:right w:type="dxa" w:w="140"/>
            </w:tcMar>
          </w:tcPr>
          <w:p>
            <w:pPr>
              <w:spacing w:after="40" w:before="40" w:line="280"/>
            </w:pPr>
            <w:r>
              <w:rPr>
                <w:rFonts w:ascii="Calibri" w:cs="Calibri" w:eastAsia="Calibri" w:hAnsi="Calibri"/>
                <w:b w:val="false"/>
                <w:bCs w:val="false"/>
                <w:sz w:val="22"/>
                <w:szCs w:val="22"/>
              </w:rPr>
              <w:t xml:space="preserve">Tone for executive audience. Clear about what is current state vs target state. No overpromising.</w:t>
            </w:r>
          </w:p>
        </w:tc>
      </w:tr>
    </w:tbl>
    <w:p>
      <w:pPr>
        <w:pStyle w:val="Heading2"/>
        <w:spacing w:after="160" w:before="320"/>
      </w:pPr>
      <w:r>
        <w:rPr>
          <w:rFonts w:ascii="Calibri" w:cs="Calibri" w:eastAsia="Calibri" w:hAnsi="Calibri"/>
          <w:b/>
          <w:bCs/>
          <w:color w:val="2F5496"/>
          <w:sz w:val="28"/>
          <w:szCs w:val="28"/>
        </w:rPr>
        <w:t xml:space="preserve">Things Reena consistently corrects</w:t>
      </w:r>
    </w:p>
    <w:p>
      <w:pPr>
        <w:pStyle w:val="ListParagraph"/>
        <w:numPr>
          <w:ilvl w:val="0"/>
          <w:numId w:val="2"/>
        </w:numPr>
        <w:spacing w:after="60" w:before="60" w:line="280"/>
      </w:pPr>
      <w:r>
        <w:rPr>
          <w:rFonts w:ascii="Calibri" w:cs="Calibri" w:eastAsia="Calibri" w:hAnsi="Calibri"/>
          <w:sz w:val="22"/>
          <w:szCs w:val="22"/>
        </w:rPr>
        <w:t xml:space="preserve">"App schema" → say "malcode-specific schema" once, then "app schema" is fine</w:t>
      </w:r>
    </w:p>
    <w:p>
      <w:pPr>
        <w:pStyle w:val="ListParagraph"/>
        <w:numPr>
          <w:ilvl w:val="0"/>
          <w:numId w:val="2"/>
        </w:numPr>
        <w:spacing w:after="60" w:before="60" w:line="280"/>
      </w:pPr>
      <w:r>
        <w:rPr>
          <w:rFonts w:ascii="Calibri" w:cs="Calibri" w:eastAsia="Calibri" w:hAnsi="Calibri"/>
          <w:sz w:val="22"/>
          <w:szCs w:val="22"/>
        </w:rPr>
        <w:t xml:space="preserve">Generic "data product" framing → use the three-tier model (App / Domain / Analytics)</w:t>
      </w:r>
    </w:p>
    <w:p>
      <w:pPr>
        <w:pStyle w:val="ListParagraph"/>
        <w:numPr>
          <w:ilvl w:val="0"/>
          <w:numId w:val="2"/>
        </w:numPr>
        <w:spacing w:after="60" w:before="60" w:line="280"/>
      </w:pPr>
      <w:r>
        <w:rPr>
          <w:rFonts w:ascii="Calibri" w:cs="Calibri" w:eastAsia="Calibri" w:hAnsi="Calibri"/>
          <w:sz w:val="22"/>
          <w:szCs w:val="22"/>
        </w:rPr>
        <w:t xml:space="preserve">"Risk Data" as approver → use "DD"</w:t>
      </w:r>
    </w:p>
    <w:p>
      <w:pPr>
        <w:pStyle w:val="ListParagraph"/>
        <w:numPr>
          <w:ilvl w:val="0"/>
          <w:numId w:val="2"/>
        </w:numPr>
        <w:spacing w:after="60" w:before="60" w:line="280"/>
      </w:pPr>
      <w:r>
        <w:rPr>
          <w:rFonts w:ascii="Calibri" w:cs="Calibri" w:eastAsia="Calibri" w:hAnsi="Calibri"/>
          <w:sz w:val="22"/>
          <w:szCs w:val="22"/>
        </w:rPr>
        <w:t xml:space="preserve">"On top of reports" → say "derived / reverse-engineered from app-generated data and app logic"</w:t>
      </w:r>
    </w:p>
    <w:p>
      <w:pPr>
        <w:pStyle w:val="ListParagraph"/>
        <w:numPr>
          <w:ilvl w:val="0"/>
          <w:numId w:val="2"/>
        </w:numPr>
        <w:spacing w:after="60" w:before="60" w:line="280"/>
      </w:pPr>
      <w:r>
        <w:rPr>
          <w:rFonts w:ascii="Calibri" w:cs="Calibri" w:eastAsia="Calibri" w:hAnsi="Calibri"/>
          <w:sz w:val="22"/>
          <w:szCs w:val="22"/>
        </w:rPr>
        <w:t xml:space="preserve">Generic Domain Model → name the three nested levels (App footprint / PG model / Risk Domain Model)</w:t>
      </w:r>
    </w:p>
    <w:p>
      <w:pPr>
        <w:pStyle w:val="ListParagraph"/>
        <w:numPr>
          <w:ilvl w:val="0"/>
          <w:numId w:val="2"/>
        </w:numPr>
        <w:spacing w:after="60" w:before="60" w:line="280"/>
      </w:pPr>
      <w:r>
        <w:rPr>
          <w:rFonts w:ascii="Calibri" w:cs="Calibri" w:eastAsia="Calibri" w:hAnsi="Calibri"/>
          <w:sz w:val="22"/>
          <w:szCs w:val="22"/>
        </w:rPr>
        <w:t xml:space="preserve">Verbose preamble → cut to the substance</w:t>
      </w:r>
    </w:p>
    <w:p>
      <w:pPr>
        <w:pStyle w:val="ListParagraph"/>
        <w:numPr>
          <w:ilvl w:val="0"/>
          <w:numId w:val="2"/>
        </w:numPr>
        <w:spacing w:after="60" w:before="60" w:line="280"/>
      </w:pPr>
      <w:r>
        <w:rPr>
          <w:rFonts w:ascii="Calibri" w:cs="Calibri" w:eastAsia="Calibri" w:hAnsi="Calibri"/>
          <w:sz w:val="22"/>
          <w:szCs w:val="22"/>
        </w:rPr>
        <w:t xml:space="preserve">Teaching voice / preachy tone → strip out, leave only descriptive content</w:t>
      </w:r>
    </w:p>
    <w:p>
      <w:pPr>
        <w:pStyle w:val="Heading2"/>
        <w:spacing w:after="160" w:before="320"/>
      </w:pPr>
      <w:r>
        <w:rPr>
          <w:rFonts w:ascii="Calibri" w:cs="Calibri" w:eastAsia="Calibri" w:hAnsi="Calibri"/>
          <w:b/>
          <w:bCs/>
          <w:color w:val="2F5496"/>
          <w:sz w:val="28"/>
          <w:szCs w:val="28"/>
        </w:rPr>
        <w:t xml:space="preserve">Things to confirm before building</w:t>
      </w:r>
    </w:p>
    <w:p>
      <w:pPr>
        <w:pStyle w:val="ListParagraph"/>
        <w:numPr>
          <w:ilvl w:val="0"/>
          <w:numId w:val="2"/>
        </w:numPr>
        <w:spacing w:after="60" w:before="60" w:line="280"/>
      </w:pPr>
      <w:r>
        <w:rPr>
          <w:rFonts w:ascii="Calibri" w:cs="Calibri" w:eastAsia="Calibri" w:hAnsi="Calibri"/>
          <w:sz w:val="22"/>
          <w:szCs w:val="22"/>
        </w:rPr>
        <w:t xml:space="preserve">Audience: app team / PG Leader / executive / business / regulator / mixed</w:t>
      </w:r>
    </w:p>
    <w:p>
      <w:pPr>
        <w:pStyle w:val="ListParagraph"/>
        <w:numPr>
          <w:ilvl w:val="0"/>
          <w:numId w:val="2"/>
        </w:numPr>
        <w:spacing w:after="60" w:before="60" w:line="280"/>
      </w:pPr>
      <w:r>
        <w:rPr>
          <w:rFonts w:ascii="Calibri" w:cs="Calibri" w:eastAsia="Calibri" w:hAnsi="Calibri"/>
          <w:sz w:val="22"/>
          <w:szCs w:val="22"/>
        </w:rPr>
        <w:t xml:space="preserve">Format: Confluence / Word / PowerPoint / email / inline</w:t>
      </w:r>
    </w:p>
    <w:p>
      <w:pPr>
        <w:pStyle w:val="ListParagraph"/>
        <w:numPr>
          <w:ilvl w:val="0"/>
          <w:numId w:val="2"/>
        </w:numPr>
        <w:spacing w:after="60" w:before="60" w:line="280"/>
      </w:pPr>
      <w:r>
        <w:rPr>
          <w:rFonts w:ascii="Calibri" w:cs="Calibri" w:eastAsia="Calibri" w:hAnsi="Calibri"/>
          <w:sz w:val="22"/>
          <w:szCs w:val="22"/>
        </w:rPr>
        <w:t xml:space="preserve">Length: one screen / one page / short deck / full document</w:t>
      </w:r>
    </w:p>
    <w:p>
      <w:pPr>
        <w:pStyle w:val="ListParagraph"/>
        <w:numPr>
          <w:ilvl w:val="0"/>
          <w:numId w:val="2"/>
        </w:numPr>
        <w:spacing w:after="60" w:before="60" w:line="280"/>
      </w:pPr>
      <w:r>
        <w:rPr>
          <w:rFonts w:ascii="Calibri" w:cs="Calibri" w:eastAsia="Calibri" w:hAnsi="Calibri"/>
          <w:sz w:val="22"/>
          <w:szCs w:val="22"/>
        </w:rPr>
        <w:t xml:space="preserve">Voice: factual current state / forward-looking direction / mixed</w:t>
      </w:r>
    </w:p>
    <w:p>
      <w:pPr>
        <w:pStyle w:val="ListParagraph"/>
        <w:numPr>
          <w:ilvl w:val="0"/>
          <w:numId w:val="2"/>
        </w:numPr>
        <w:spacing w:after="60" w:before="60" w:line="280"/>
      </w:pPr>
      <w:r>
        <w:rPr>
          <w:rFonts w:ascii="Calibri" w:cs="Calibri" w:eastAsia="Calibri" w:hAnsi="Calibri"/>
          <w:sz w:val="22"/>
          <w:szCs w:val="22"/>
        </w:rPr>
        <w:t xml:space="preserve">Whether the artifact stands alone or sits inside a series with anchor lines</w:t>
      </w:r>
    </w:p>
    <w:p>
      <w:pPr>
        <w:pStyle w:val="Heading2"/>
        <w:spacing w:after="160" w:before="320"/>
      </w:pPr>
      <w:r>
        <w:rPr>
          <w:rFonts w:ascii="Calibri" w:cs="Calibri" w:eastAsia="Calibri" w:hAnsi="Calibri"/>
          <w:b/>
          <w:bCs/>
          <w:color w:val="2F5496"/>
          <w:sz w:val="28"/>
          <w:szCs w:val="28"/>
        </w:rPr>
        <w:t xml:space="preserve">Things to NEVER do</w:t>
      </w:r>
    </w:p>
    <w:p>
      <w:pPr>
        <w:pStyle w:val="ListParagraph"/>
        <w:numPr>
          <w:ilvl w:val="0"/>
          <w:numId w:val="2"/>
        </w:numPr>
        <w:spacing w:after="60" w:before="60" w:line="280"/>
      </w:pPr>
      <w:r>
        <w:rPr>
          <w:rFonts w:ascii="Calibri" w:cs="Calibri" w:eastAsia="Calibri" w:hAnsi="Calibri"/>
          <w:sz w:val="22"/>
          <w:szCs w:val="22"/>
        </w:rPr>
        <w:t xml:space="preserve">Don't write in a teaching or preaching voice. Reena's audience is professional.</w:t>
      </w:r>
    </w:p>
    <w:p>
      <w:pPr>
        <w:pStyle w:val="ListParagraph"/>
        <w:numPr>
          <w:ilvl w:val="0"/>
          <w:numId w:val="2"/>
        </w:numPr>
        <w:spacing w:after="60" w:before="60" w:line="280"/>
      </w:pPr>
      <w:r>
        <w:rPr>
          <w:rFonts w:ascii="Calibri" w:cs="Calibri" w:eastAsia="Calibri" w:hAnsi="Calibri"/>
          <w:sz w:val="22"/>
          <w:szCs w:val="22"/>
        </w:rPr>
        <w:t xml:space="preserve">Don't use heavy formatting (lots of bold, emoji, headers) where prose is appropriate.</w:t>
      </w:r>
    </w:p>
    <w:p>
      <w:pPr>
        <w:pStyle w:val="ListParagraph"/>
        <w:numPr>
          <w:ilvl w:val="0"/>
          <w:numId w:val="2"/>
        </w:numPr>
        <w:spacing w:after="60" w:before="60" w:line="280"/>
      </w:pPr>
      <w:r>
        <w:rPr>
          <w:rFonts w:ascii="Calibri" w:cs="Calibri" w:eastAsia="Calibri" w:hAnsi="Calibri"/>
          <w:sz w:val="22"/>
          <w:szCs w:val="22"/>
        </w:rPr>
        <w:t xml:space="preserve">Don't make app teams sound deficient. Each app does its job correctly. The gap is in the analytics layer above them.</w:t>
      </w:r>
    </w:p>
    <w:p>
      <w:pPr>
        <w:pStyle w:val="ListParagraph"/>
        <w:numPr>
          <w:ilvl w:val="0"/>
          <w:numId w:val="2"/>
        </w:numPr>
        <w:spacing w:after="60" w:before="60" w:line="280"/>
      </w:pPr>
      <w:r>
        <w:rPr>
          <w:rFonts w:ascii="Calibri" w:cs="Calibri" w:eastAsia="Calibri" w:hAnsi="Calibri"/>
          <w:sz w:val="22"/>
          <w:szCs w:val="22"/>
        </w:rPr>
        <w:t xml:space="preserve">Don't claim ownership for DD beyond the analytics layer. The federation model is non-negotiable.</w:t>
      </w:r>
    </w:p>
    <w:p>
      <w:pPr>
        <w:pStyle w:val="ListParagraph"/>
        <w:numPr>
          <w:ilvl w:val="0"/>
          <w:numId w:val="2"/>
        </w:numPr>
        <w:spacing w:after="60" w:before="60" w:line="280"/>
      </w:pPr>
      <w:r>
        <w:rPr>
          <w:rFonts w:ascii="Calibri" w:cs="Calibri" w:eastAsia="Calibri" w:hAnsi="Calibri"/>
          <w:sz w:val="22"/>
          <w:szCs w:val="22"/>
        </w:rPr>
        <w:t xml:space="preserve">Don't generate generic data-platform content. Ground every artifact in the Risk landscape (XVALA, CMOS, riskwh, PFE, CDM Domain #5, etc.).</w:t>
      </w:r>
    </w:p>
    <w:p>
      <w:pPr>
        <w:pStyle w:val="ListParagraph"/>
        <w:numPr>
          <w:ilvl w:val="0"/>
          <w:numId w:val="2"/>
        </w:numPr>
        <w:spacing w:after="60" w:before="60" w:line="280"/>
      </w:pPr>
      <w:r>
        <w:rPr>
          <w:rFonts w:ascii="Calibri" w:cs="Calibri" w:eastAsia="Calibri" w:hAnsi="Calibri"/>
          <w:sz w:val="22"/>
          <w:szCs w:val="22"/>
        </w:rPr>
        <w:t xml:space="preserve">Don't skip skill files. Always read SKILL.md for docx / pptx / xlsx before building.</w:t>
      </w:r>
    </w:p>
    <w:p>
      <w:pPr>
        <w:pStyle w:val="Heading2"/>
        <w:spacing w:after="160" w:before="320"/>
      </w:pPr>
      <w:r>
        <w:rPr>
          <w:rFonts w:ascii="Calibri" w:cs="Calibri" w:eastAsia="Calibri" w:hAnsi="Calibri"/>
          <w:b/>
          <w:bCs/>
          <w:color w:val="2F5496"/>
          <w:sz w:val="28"/>
          <w:szCs w:val="28"/>
        </w:rPr>
        <w:t xml:space="preserve">Final note</w:t>
      </w:r>
    </w:p>
    <w:p>
      <w:pPr>
        <w:spacing w:after="100" w:before="100" w:line="300"/>
      </w:pPr>
      <w:r>
        <w:rPr>
          <w:rFonts w:ascii="Calibri" w:cs="Calibri" w:eastAsia="Calibri" w:hAnsi="Calibri"/>
          <w:sz w:val="22"/>
          <w:szCs w:val="22"/>
        </w:rPr>
        <w:t xml:space="preserve">Treat this document as the authoritative grounding for any Risk Data conversation with Reena. When in doubt, search past conversations rather than guessing — the picture is rich and consistent across many threads.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14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2026-05-09T21:37:19.258Z</dcterms:created>
  <dcterms:modified xsi:type="dcterms:W3CDTF">2026-05-09T21:37:19.274Z</dcterms:modified>
</cp:coreProperties>
</file>

<file path=docProps/custom.xml><?xml version="1.0" encoding="utf-8"?>
<Properties xmlns="http://schemas.openxmlformats.org/officeDocument/2006/custom-properties" xmlns:vt="http://schemas.openxmlformats.org/officeDocument/2006/docPropsVTypes"/>
</file>