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sz w:val="36"/>
          <w:szCs w:val="36"/>
        </w:rPr>
        <w:t xml:space="preserve">Risk Data — Confluence Content v5</w:t>
      </w:r>
    </w:p>
    <w:p>
      <w:pPr>
        <w:spacing w:after="200" w:before="100"/>
      </w:pPr>
      <w:r>
        <w:rPr>
          <w:rFonts w:ascii="Calibri" w:cs="Calibri" w:eastAsia="Calibri" w:hAnsi="Calibri"/>
          <w:i/>
          <w:iCs/>
          <w:sz w:val="20"/>
          <w:szCs w:val="20"/>
        </w:rPr>
        <w:t xml:space="preserve">Seven Confluence pages. Each "PAGE:" section is one Confluence page. Create the page, paste the content under the page heading, then type /toc after the title to add a Table of Contents macro. Image placeholders point to specific source slides and architecture diagrams — replace each placeholder with the corresponding image after publication.</w:t>
      </w:r>
    </w:p>
    <w:p>
      <w:pPr>
        <w:pStyle w:val="Heading3"/>
        <w:spacing w:after="140" w:before="220"/>
      </w:pPr>
      <w:r>
        <w:rPr>
          <w:rFonts w:ascii="Calibri" w:cs="Calibri" w:eastAsia="Calibri" w:hAnsi="Calibri"/>
          <w:b/>
          <w:bCs/>
          <w:sz w:val="24"/>
          <w:szCs w:val="24"/>
        </w:rPr>
        <w:t xml:space="preserve">Page hierarchy</w:t>
      </w:r>
    </w:p>
    <w:p>
      <w:pPr>
        <w:spacing w:after="100" w:before="100" w:line="300"/>
      </w:pPr>
      <w:r>
        <w:rPr>
          <w:rFonts w:ascii="Calibri" w:cs="Calibri" w:eastAsia="Calibri" w:hAnsi="Calibri"/>
          <w:sz w:val="22"/>
          <w:szCs w:val="22"/>
        </w:rPr>
        <w:t xml:space="preserve">Risk Architecture (existing parent)</w:t>
      </w:r>
    </w:p>
    <w:p>
      <w:pPr>
        <w:spacing w:after="100" w:before="100" w:line="300"/>
      </w:pPr>
      <w:r>
        <w:rPr>
          <w:rFonts w:ascii="Calibri" w:cs="Calibri" w:eastAsia="Calibri" w:hAnsi="Calibri"/>
          <w:sz w:val="22"/>
          <w:szCs w:val="22"/>
        </w:rPr>
        <w:t xml:space="preserve">├── Risk Analytics — North Star  [SIBLING]</w:t>
      </w:r>
    </w:p>
    <w:p>
      <w:pPr>
        <w:spacing w:after="100" w:before="100" w:line="300"/>
      </w:pPr>
      <w:r>
        <w:rPr>
          <w:rFonts w:ascii="Calibri" w:cs="Calibri" w:eastAsia="Calibri" w:hAnsi="Calibri"/>
          <w:sz w:val="22"/>
          <w:szCs w:val="22"/>
        </w:rPr>
        <w:t xml:space="preserve">├── Risk-Databricks Operating Model  [separate page — link in Quick Links]</w:t>
      </w:r>
    </w:p>
    <w:p>
      <w:pPr>
        <w:spacing w:after="100" w:before="100" w:line="300"/>
      </w:pPr>
      <w:r>
        <w:rPr>
          <w:rFonts w:ascii="Calibri" w:cs="Calibri" w:eastAsia="Calibri" w:hAnsi="Calibri"/>
          <w:sz w:val="22"/>
          <w:szCs w:val="22"/>
        </w:rPr>
        <w:t xml:space="preserve">└── Risk Data — Operating Model &amp; Standards  [LANDING]</w:t>
      </w:r>
    </w:p>
    <w:p>
      <w:pPr>
        <w:spacing w:after="100" w:before="100" w:line="300"/>
      </w:pPr>
      <w:r>
        <w:rPr>
          <w:rFonts w:ascii="Calibri" w:cs="Calibri" w:eastAsia="Calibri" w:hAnsi="Calibri"/>
          <w:sz w:val="22"/>
          <w:szCs w:val="22"/>
        </w:rPr>
        <w:t xml:space="preserve">    ├── 1. Architecture &amp; Design</w:t>
      </w:r>
    </w:p>
    <w:p>
      <w:pPr>
        <w:spacing w:after="100" w:before="100" w:line="300"/>
      </w:pPr>
      <w:r>
        <w:rPr>
          <w:rFonts w:ascii="Calibri" w:cs="Calibri" w:eastAsia="Calibri" w:hAnsi="Calibri"/>
          <w:sz w:val="22"/>
          <w:szCs w:val="22"/>
        </w:rPr>
        <w:t xml:space="preserve">    ├── 2. Standards &amp; Artifacts Library</w:t>
      </w:r>
    </w:p>
    <w:p>
      <w:pPr>
        <w:spacing w:after="100" w:before="100" w:line="300"/>
      </w:pPr>
      <w:r>
        <w:rPr>
          <w:rFonts w:ascii="Calibri" w:cs="Calibri" w:eastAsia="Calibri" w:hAnsi="Calibri"/>
          <w:sz w:val="22"/>
          <w:szCs w:val="22"/>
        </w:rPr>
        <w:t xml:space="preserve">    ├── 3. Glossary &amp; Terminology</w:t>
      </w:r>
    </w:p>
    <w:p>
      <w:pPr>
        <w:spacing w:after="100" w:before="100" w:line="300"/>
      </w:pPr>
      <w:r>
        <w:rPr>
          <w:rFonts w:ascii="Calibri" w:cs="Calibri" w:eastAsia="Calibri" w:hAnsi="Calibri"/>
          <w:sz w:val="22"/>
          <w:szCs w:val="22"/>
        </w:rPr>
        <w:t xml:space="preserve">    ├── 4. Worked Example — Counterparty 360 Product</w:t>
      </w:r>
    </w:p>
    <w:p>
      <w:pPr>
        <w:spacing w:after="100" w:before="100" w:line="300"/>
      </w:pPr>
      <w:r>
        <w:rPr>
          <w:rFonts w:ascii="Calibri" w:cs="Calibri" w:eastAsia="Calibri" w:hAnsi="Calibri"/>
          <w:sz w:val="22"/>
          <w:szCs w:val="22"/>
        </w:rPr>
        <w:t xml:space="preserve">    ├── 5. From Risk Reports to Governed Data Products</w:t>
      </w:r>
    </w:p>
    <w:p>
      <w:pPr>
        <w:spacing w:after="100" w:before="100" w:line="300"/>
      </w:pPr>
      <w:r>
        <w:rPr>
          <w:rFonts w:ascii="Calibri" w:cs="Calibri" w:eastAsia="Calibri" w:hAnsi="Calibri"/>
          <w:sz w:val="22"/>
          <w:szCs w:val="22"/>
        </w:rPr>
        <w:t xml:space="preserve">    └── 6. Governance &amp; Cadence</w:t>
      </w:r>
    </w:p>
    <w:p>
      <w:pPr>
        <w:pStyle w:val="Heading3"/>
        <w:spacing w:after="140" w:before="220"/>
      </w:pPr>
      <w:r>
        <w:rPr>
          <w:rFonts w:ascii="Calibri" w:cs="Calibri" w:eastAsia="Calibri" w:hAnsi="Calibri"/>
          <w:b/>
          <w:bCs/>
          <w:sz w:val="24"/>
          <w:szCs w:val="24"/>
        </w:rPr>
        <w:t xml:space="preserve">v8 changes vs v7</w:t>
      </w:r>
    </w:p>
    <w:p>
      <w:pPr>
        <w:pStyle w:val="ListParagraph"/>
        <w:numPr>
          <w:ilvl w:val="0"/>
          <w:numId w:val="2"/>
        </w:numPr>
        <w:spacing w:after="60" w:before="60" w:line="280"/>
      </w:pPr>
      <w:r>
        <w:rPr>
          <w:rFonts w:ascii="Calibri" w:cs="Calibri" w:eastAsia="Calibri" w:hAnsi="Calibri"/>
          <w:sz w:val="22"/>
          <w:szCs w:val="22"/>
        </w:rPr>
        <w:t xml:space="preserve">North Star Direction sentence rewritten in neutral, operational language: "Consumers query governed analytics products rather than manually reconciling application-specific reports" (was "Analysts query the data once instead of stitching reports together").</w:t>
      </w:r>
    </w:p>
    <w:p>
      <w:pPr>
        <w:pStyle w:val="ListParagraph"/>
        <w:numPr>
          <w:ilvl w:val="0"/>
          <w:numId w:val="2"/>
        </w:numPr>
        <w:spacing w:after="60" w:before="60" w:line="280"/>
      </w:pPr>
      <w:r>
        <w:rPr>
          <w:rFonts w:ascii="Calibri" w:cs="Calibri" w:eastAsia="Calibri" w:hAnsi="Calibri"/>
          <w:sz w:val="22"/>
          <w:szCs w:val="22"/>
        </w:rPr>
        <w:t xml:space="preserve">Standards Safe vs unsafe queries — closing sentence rewritten: "The semantic layer enforces the aggregation and grain rules defined in the product contract" (was "The semantic layer refuses the unsafe query").</w:t>
      </w:r>
    </w:p>
    <w:p>
      <w:pPr>
        <w:pStyle w:val="ListParagraph"/>
        <w:numPr>
          <w:ilvl w:val="0"/>
          <w:numId w:val="2"/>
        </w:numPr>
        <w:spacing w:after="60" w:before="60" w:line="280"/>
      </w:pPr>
      <w:r>
        <w:rPr>
          <w:rFonts w:ascii="Calibri" w:cs="Calibri" w:eastAsia="Calibri" w:hAnsi="Calibri"/>
          <w:sz w:val="22"/>
          <w:szCs w:val="22"/>
        </w:rPr>
        <w:t xml:space="preserve">Five other neutral-wording revisions apply to slide-deck content (Data Journey and Today vs Future State slides), not to this Word document — those are tracked separately.</w:t>
      </w:r>
    </w:p>
    <w:p>
      <w:pPr>
        <w:pStyle w:val="Heading3"/>
        <w:spacing w:after="140" w:before="220"/>
      </w:pPr>
      <w:r>
        <w:rPr>
          <w:rFonts w:ascii="Calibri" w:cs="Calibri" w:eastAsia="Calibri" w:hAnsi="Calibri"/>
          <w:b/>
          <w:bCs/>
          <w:sz w:val="24"/>
          <w:szCs w:val="24"/>
        </w:rPr>
        <w:t xml:space="preserve">v7 changes vs v6</w:t>
      </w:r>
    </w:p>
    <w:p>
      <w:pPr>
        <w:pStyle w:val="ListParagraph"/>
        <w:numPr>
          <w:ilvl w:val="0"/>
          <w:numId w:val="2"/>
        </w:numPr>
        <w:spacing w:after="60" w:before="60" w:line="280"/>
      </w:pPr>
      <w:r>
        <w:rPr>
          <w:rFonts w:ascii="Calibri" w:cs="Calibri" w:eastAsia="Calibri" w:hAnsi="Calibri"/>
          <w:sz w:val="22"/>
          <w:szCs w:val="22"/>
        </w:rPr>
        <w:t xml:space="preserve">Image references switched from "Slide N" to slide titles, so references survive deck reordering.</w:t>
      </w:r>
    </w:p>
    <w:p>
      <w:pPr>
        <w:pStyle w:val="ListParagraph"/>
        <w:numPr>
          <w:ilvl w:val="0"/>
          <w:numId w:val="2"/>
        </w:numPr>
        <w:spacing w:after="60" w:before="60" w:line="280"/>
      </w:pPr>
      <w:r>
        <w:rPr>
          <w:rFonts w:ascii="Calibri" w:cs="Calibri" w:eastAsia="Calibri" w:hAnsi="Calibri"/>
          <w:sz w:val="22"/>
          <w:szCs w:val="22"/>
        </w:rPr>
        <w:t xml:space="preserve">"Three views" timing claim corrected: visible immediately for views; visible at the next refresh for materialised copies.</w:t>
      </w:r>
    </w:p>
    <w:p>
      <w:pPr>
        <w:pStyle w:val="ListParagraph"/>
        <w:numPr>
          <w:ilvl w:val="0"/>
          <w:numId w:val="2"/>
        </w:numPr>
        <w:spacing w:after="60" w:before="60" w:line="280"/>
      </w:pPr>
      <w:r>
        <w:rPr>
          <w:rFonts w:ascii="Calibri" w:cs="Calibri" w:eastAsia="Calibri" w:hAnsi="Calibri"/>
          <w:sz w:val="22"/>
          <w:szCs w:val="22"/>
        </w:rPr>
        <w:t xml:space="preserve">Forward-pointer to promotion page now states what the reader will find: promoted reports enter at Stage 3, 4, 5, or 6 rather than starting at Stage 1.</w:t>
      </w:r>
    </w:p>
    <w:p>
      <w:pPr>
        <w:pStyle w:val="ListParagraph"/>
        <w:numPr>
          <w:ilvl w:val="0"/>
          <w:numId w:val="2"/>
        </w:numPr>
        <w:spacing w:after="60" w:before="60" w:line="280"/>
      </w:pPr>
      <w:r>
        <w:rPr>
          <w:rFonts w:ascii="Calibri" w:cs="Calibri" w:eastAsia="Calibri" w:hAnsi="Calibri"/>
          <w:sz w:val="22"/>
          <w:szCs w:val="22"/>
        </w:rPr>
        <w:t xml:space="preserve">Direction sentence: avoids repetition; restores "scalable".</w:t>
      </w:r>
    </w:p>
    <w:p>
      <w:pPr>
        <w:pStyle w:val="ListParagraph"/>
        <w:numPr>
          <w:ilvl w:val="0"/>
          <w:numId w:val="2"/>
        </w:numPr>
        <w:spacing w:after="60" w:before="60" w:line="280"/>
      </w:pPr>
      <w:r>
        <w:rPr>
          <w:rFonts w:ascii="Calibri" w:cs="Calibri" w:eastAsia="Calibri" w:hAnsi="Calibri"/>
          <w:sz w:val="22"/>
          <w:szCs w:val="22"/>
        </w:rPr>
        <w:t xml:space="preserve">Terminology: "Risk Data Model" replaced by "Risk Domain Model" everywhere it appears.</w:t>
      </w:r>
    </w:p>
    <w:p>
      <w:pPr>
        <w:pStyle w:val="ListParagraph"/>
        <w:numPr>
          <w:ilvl w:val="0"/>
          <w:numId w:val="2"/>
        </w:numPr>
        <w:spacing w:after="60" w:before="60" w:line="280"/>
      </w:pPr>
      <w:r>
        <w:rPr>
          <w:rFonts w:ascii="Calibri" w:cs="Calibri" w:eastAsia="Calibri" w:hAnsi="Calibri"/>
          <w:sz w:val="22"/>
          <w:szCs w:val="22"/>
        </w:rPr>
        <w:t xml:space="preserve">Standards examples: "sum_with_rules" replaced with "additive" with an explanatory comment; DDL CHECK constraint example replaced with a comment explaining Databricks SQL constraint behaviour.</w:t>
      </w:r>
    </w:p>
    <w:p>
      <w:pPr>
        <w:pStyle w:val="ListParagraph"/>
        <w:numPr>
          <w:ilvl w:val="0"/>
          <w:numId w:val="2"/>
        </w:numPr>
        <w:spacing w:after="60" w:before="60" w:line="280"/>
      </w:pPr>
      <w:r>
        <w:rPr>
          <w:rFonts w:ascii="Calibri" w:cs="Calibri" w:eastAsia="Calibri" w:hAnsi="Calibri"/>
          <w:sz w:val="22"/>
          <w:szCs w:val="22"/>
        </w:rPr>
        <w:t xml:space="preserve">Architecture &amp; Design: "When apps consume from the warehouse" promoted to its own section.</w:t>
      </w:r>
    </w:p>
    <w:p>
      <w:pPr>
        <w:pStyle w:val="ListParagraph"/>
        <w:numPr>
          <w:ilvl w:val="0"/>
          <w:numId w:val="2"/>
        </w:numPr>
        <w:spacing w:after="60" w:before="60" w:line="280"/>
      </w:pPr>
      <w:r>
        <w:rPr>
          <w:rFonts w:ascii="Calibri" w:cs="Calibri" w:eastAsia="Calibri" w:hAnsi="Calibri"/>
          <w:sz w:val="22"/>
          <w:szCs w:val="22"/>
        </w:rPr>
        <w:t xml:space="preserve">Worked Example: grain-compatibility note added (fact_exposure + fact_stress share grain; others combine via semantic layer).</w:t>
      </w:r>
    </w:p>
    <w:p>
      <w:pPr>
        <w:pStyle w:val="ListParagraph"/>
        <w:numPr>
          <w:ilvl w:val="0"/>
          <w:numId w:val="2"/>
        </w:numPr>
        <w:spacing w:after="60" w:before="60" w:line="280"/>
      </w:pPr>
      <w:r>
        <w:rPr>
          <w:rFonts w:ascii="Calibri" w:cs="Calibri" w:eastAsia="Calibri" w:hAnsi="Calibri"/>
          <w:sz w:val="22"/>
          <w:szCs w:val="22"/>
        </w:rPr>
        <w:t xml:space="preserve">Glossary anchor scoped to data-architecture / analytics terms; Risk-domain terms defined in Risk apps and regulatory references.</w:t>
      </w:r>
    </w:p>
    <w:p>
      <w:pPr>
        <w:pStyle w:val="ListParagraph"/>
        <w:numPr>
          <w:ilvl w:val="0"/>
          <w:numId w:val="2"/>
        </w:numPr>
        <w:spacing w:after="60" w:before="60" w:line="280"/>
      </w:pPr>
      <w:r>
        <w:rPr>
          <w:rFonts w:ascii="Calibri" w:cs="Calibri" w:eastAsia="Calibri" w:hAnsi="Calibri"/>
          <w:sz w:val="22"/>
          <w:szCs w:val="22"/>
        </w:rPr>
        <w:t xml:space="preserve">Roster row marked as illustrative; live roster maintained at a Confluence link.</w:t>
      </w:r>
    </w:p>
    <w:p>
      <w:pPr>
        <w:pStyle w:val="Heading3"/>
        <w:spacing w:after="140" w:before="220"/>
      </w:pPr>
      <w:r>
        <w:rPr>
          <w:rFonts w:ascii="Calibri" w:cs="Calibri" w:eastAsia="Calibri" w:hAnsi="Calibri"/>
          <w:b/>
          <w:bCs/>
          <w:sz w:val="24"/>
          <w:szCs w:val="24"/>
        </w:rPr>
        <w:t xml:space="preserve">v6 changes vs v5</w:t>
      </w:r>
    </w:p>
    <w:p>
      <w:pPr>
        <w:pStyle w:val="ListParagraph"/>
        <w:numPr>
          <w:ilvl w:val="0"/>
          <w:numId w:val="2"/>
        </w:numPr>
        <w:spacing w:after="60" w:before="60" w:line="280"/>
      </w:pPr>
      <w:r>
        <w:rPr>
          <w:rFonts w:ascii="Calibri" w:cs="Calibri" w:eastAsia="Calibri" w:hAnsi="Calibri"/>
          <w:sz w:val="22"/>
          <w:szCs w:val="22"/>
        </w:rPr>
        <w:t xml:space="preserve">New sibling page (position 5) — "From Risk Reports to Governed Data Products" — formalisation path for existing reports into governed warehouse products. Covers what changes for consumers, what the App contributes, where promoted reports enter the 6-stage journey, the variants insight (multiple grouped reports = one product with multiple views), and what does not change.</w:t>
      </w:r>
    </w:p>
    <w:p>
      <w:pPr>
        <w:pStyle w:val="ListParagraph"/>
        <w:numPr>
          <w:ilvl w:val="0"/>
          <w:numId w:val="2"/>
        </w:numPr>
        <w:spacing w:after="60" w:before="60" w:line="280"/>
      </w:pPr>
      <w:r>
        <w:rPr>
          <w:rFonts w:ascii="Calibri" w:cs="Calibri" w:eastAsia="Calibri" w:hAnsi="Calibri"/>
          <w:sz w:val="22"/>
          <w:szCs w:val="22"/>
        </w:rPr>
        <w:t xml:space="preserve">New Section F in Standards &amp; Artifacts Library — "Onboarding Form Addendum: Promoting an Existing Report" — metadata fields specific to report promotion.</w:t>
      </w:r>
    </w:p>
    <w:p>
      <w:pPr>
        <w:pStyle w:val="ListParagraph"/>
        <w:numPr>
          <w:ilvl w:val="0"/>
          <w:numId w:val="2"/>
        </w:numPr>
        <w:spacing w:after="60" w:before="60" w:line="280"/>
      </w:pPr>
      <w:r>
        <w:rPr>
          <w:rFonts w:ascii="Calibri" w:cs="Calibri" w:eastAsia="Calibri" w:hAnsi="Calibri"/>
          <w:sz w:val="22"/>
          <w:szCs w:val="22"/>
        </w:rPr>
        <w:t xml:space="preserve">Architecture &amp; Design Data Journey section: forward-pointer to the promotion page.</w:t>
      </w:r>
    </w:p>
    <w:p>
      <w:pPr>
        <w:pStyle w:val="ListParagraph"/>
        <w:numPr>
          <w:ilvl w:val="0"/>
          <w:numId w:val="2"/>
        </w:numPr>
        <w:spacing w:after="60" w:before="60" w:line="280"/>
      </w:pPr>
      <w:r>
        <w:rPr>
          <w:rFonts w:ascii="Calibri" w:cs="Calibri" w:eastAsia="Calibri" w:hAnsi="Calibri"/>
          <w:sz w:val="22"/>
          <w:szCs w:val="22"/>
        </w:rPr>
        <w:t xml:space="preserve">Governance &amp; Cadence renumbered from 5 to 6.</w:t>
      </w:r>
    </w:p>
    <w:p>
      <w:pPr>
        <w:pStyle w:val="Heading3"/>
        <w:spacing w:after="140" w:before="220"/>
      </w:pPr>
      <w:r>
        <w:rPr>
          <w:rFonts w:ascii="Calibri" w:cs="Calibri" w:eastAsia="Calibri" w:hAnsi="Calibri"/>
          <w:b/>
          <w:bCs/>
          <w:sz w:val="24"/>
          <w:szCs w:val="24"/>
        </w:rPr>
        <w:t xml:space="preserve">v5 changes vs v4 (carried forward)</w:t>
      </w:r>
    </w:p>
    <w:p>
      <w:pPr>
        <w:pStyle w:val="ListParagraph"/>
        <w:numPr>
          <w:ilvl w:val="0"/>
          <w:numId w:val="2"/>
        </w:numPr>
        <w:spacing w:after="60" w:before="60" w:line="280"/>
      </w:pPr>
      <w:r>
        <w:rPr>
          <w:rFonts w:ascii="Calibri" w:cs="Calibri" w:eastAsia="Calibri" w:hAnsi="Calibri"/>
          <w:sz w:val="22"/>
          <w:szCs w:val="22"/>
        </w:rPr>
        <w:t xml:space="preserve">North Star — Current state and Direction rewritten per the journey arc: applications generate risk data and distribute as reports; no shared model exists across applications or across the Risk domain; the analytics layer derives the model from app-generated data and app logic.</w:t>
      </w:r>
    </w:p>
    <w:p>
      <w:pPr>
        <w:pStyle w:val="ListParagraph"/>
        <w:numPr>
          <w:ilvl w:val="0"/>
          <w:numId w:val="2"/>
        </w:numPr>
        <w:spacing w:after="60" w:before="60" w:line="280"/>
      </w:pPr>
      <w:r>
        <w:rPr>
          <w:rFonts w:ascii="Calibri" w:cs="Calibri" w:eastAsia="Calibri" w:hAnsi="Calibri"/>
          <w:sz w:val="22"/>
          <w:szCs w:val="22"/>
        </w:rPr>
        <w:t xml:space="preserve">Architecture &amp; Design — three new sections grounded in published architecture diagrams: (3.1) Data Domain Context placing Risk inside CDM Domain #5 — Derived Data and Metrics; (3.3) Databricks landscape and resolution path A → B → C; (3.4) Three views of the same data — Risk / PG / App.</w:t>
      </w:r>
    </w:p>
    <w:p>
      <w:pPr>
        <w:pStyle w:val="ListParagraph"/>
        <w:numPr>
          <w:ilvl w:val="0"/>
          <w:numId w:val="2"/>
        </w:numPr>
        <w:spacing w:after="60" w:before="60" w:line="280"/>
      </w:pPr>
      <w:r>
        <w:rPr>
          <w:rFonts w:ascii="Calibri" w:cs="Calibri" w:eastAsia="Calibri" w:hAnsi="Calibri"/>
          <w:sz w:val="22"/>
          <w:szCs w:val="22"/>
        </w:rPr>
        <w:t xml:space="preserve">Architecture &amp; Design — "Data copy only by design" principle stated; per-artifact view-vs-copy prescription removed (left as an implementation choice driven by the contract).</w:t>
      </w:r>
    </w:p>
    <w:p>
      <w:pPr>
        <w:pStyle w:val="ListParagraph"/>
        <w:numPr>
          <w:ilvl w:val="0"/>
          <w:numId w:val="2"/>
        </w:numPr>
        <w:spacing w:after="60" w:before="60" w:line="280"/>
      </w:pPr>
      <w:r>
        <w:rPr>
          <w:rFonts w:ascii="Calibri" w:cs="Calibri" w:eastAsia="Calibri" w:hAnsi="Calibri"/>
          <w:sz w:val="22"/>
          <w:szCs w:val="22"/>
        </w:rPr>
        <w:t xml:space="preserve">Architecture &amp; Design — Artifact Types expanded: Domain Model now shows three nested levels — App data footprint / Product Group model / Risk Domain Model.</w:t>
      </w:r>
    </w:p>
    <w:p>
      <w:pPr>
        <w:pStyle w:val="ListParagraph"/>
        <w:numPr>
          <w:ilvl w:val="0"/>
          <w:numId w:val="2"/>
        </w:numPr>
        <w:spacing w:after="60" w:before="60" w:line="280"/>
      </w:pPr>
      <w:r>
        <w:rPr>
          <w:rFonts w:ascii="Calibri" w:cs="Calibri" w:eastAsia="Calibri" w:hAnsi="Calibri"/>
          <w:sz w:val="22"/>
          <w:szCs w:val="22"/>
        </w:rPr>
        <w:t xml:space="preserve">Standards — Onboarding form Q6 and Q13 rephrased to match the report-and-extract reality of source data today.</w:t>
      </w:r>
    </w:p>
    <w:p>
      <w:pPr>
        <w:pStyle w:val="ListParagraph"/>
        <w:numPr>
          <w:ilvl w:val="0"/>
          <w:numId w:val="2"/>
        </w:numPr>
        <w:spacing w:after="60" w:before="60" w:line="280"/>
      </w:pPr>
      <w:r>
        <w:rPr>
          <w:rFonts w:ascii="Calibri" w:cs="Calibri" w:eastAsia="Calibri" w:hAnsi="Calibri"/>
          <w:sz w:val="22"/>
          <w:szCs w:val="22"/>
        </w:rPr>
        <w:t xml:space="preserve">Standards — Unity Catalog raw-zone tag authorship corrected: authored by Risk Data with input from the App team (apps land data; tags are applied by Risk Data).</w:t>
      </w:r>
    </w:p>
    <w:p>
      <w:pPr>
        <w:pStyle w:val="ListParagraph"/>
        <w:numPr>
          <w:ilvl w:val="0"/>
          <w:numId w:val="2"/>
        </w:numPr>
        <w:spacing w:after="60" w:before="60" w:line="280"/>
      </w:pPr>
      <w:r>
        <w:rPr>
          <w:rFonts w:ascii="Calibri" w:cs="Calibri" w:eastAsia="Calibri" w:hAnsi="Calibri"/>
          <w:sz w:val="22"/>
          <w:szCs w:val="22"/>
        </w:rPr>
        <w:t xml:space="preserve">Standards — Schema and Catalog Design Standard: catalog ownership corrected to PG Leader (catalog level) and App team (data within the malcode-specific schema). riskwh schemas listed with the layered naming that mirrors the resolution path.</w:t>
      </w:r>
    </w:p>
    <w:p>
      <w:pPr>
        <w:pStyle w:val="ListParagraph"/>
        <w:numPr>
          <w:ilvl w:val="0"/>
          <w:numId w:val="2"/>
        </w:numPr>
        <w:spacing w:after="60" w:before="60" w:line="280"/>
      </w:pPr>
      <w:r>
        <w:rPr>
          <w:rFonts w:ascii="Calibri" w:cs="Calibri" w:eastAsia="Calibri" w:hAnsi="Calibri"/>
          <w:sz w:val="22"/>
          <w:szCs w:val="22"/>
        </w:rPr>
        <w:t xml:space="preserve">Glossary — new entries: CDM, Risk Domain Model, Product Group, Malcode-specific schema, Schema resolution, Data copy only by design, Dimension, Measure.</w:t>
      </w:r>
    </w:p>
    <w:p>
      <w:pPr>
        <w:pStyle w:val="ListParagraph"/>
        <w:numPr>
          <w:ilvl w:val="0"/>
          <w:numId w:val="2"/>
        </w:numPr>
        <w:spacing w:after="60" w:before="60" w:line="280"/>
      </w:pPr>
      <w:r>
        <w:rPr>
          <w:rFonts w:ascii="Calibri" w:cs="Calibri" w:eastAsia="Calibri" w:hAnsi="Calibri"/>
          <w:sz w:val="22"/>
          <w:szCs w:val="22"/>
        </w:rPr>
        <w:t xml:space="preserve">Governance — change-management approver column corrected from "Risk Data" to "DD".</w:t>
      </w:r>
    </w:p>
    <w:p>
      <w:r>
        <w:br w:type="page"/>
      </w:r>
    </w:p>
    <w:p>
      <w:pPr>
        <w:pStyle w:val="Heading1"/>
        <w:spacing w:after="200" w:before="360"/>
      </w:pPr>
      <w:r>
        <w:rPr>
          <w:rFonts w:ascii="Calibri" w:cs="Calibri" w:eastAsia="Calibri" w:hAnsi="Calibri"/>
          <w:b/>
          <w:bCs/>
          <w:sz w:val="36"/>
          <w:szCs w:val="36"/>
        </w:rPr>
        <w:t xml:space="preserve">PAGE: Risk Analytics — North Star</w:t>
      </w:r>
    </w:p>
    <w:p>
      <w:pPr>
        <w:pStyle w:val="Heading2"/>
        <w:spacing w:after="160" w:before="280"/>
      </w:pPr>
      <w:r>
        <w:rPr>
          <w:rFonts w:ascii="Calibri" w:cs="Calibri" w:eastAsia="Calibri" w:hAnsi="Calibri"/>
          <w:b/>
          <w:bCs/>
          <w:sz w:val="28"/>
          <w:szCs w:val="28"/>
        </w:rPr>
        <w:t xml:space="preserve">Current state</w:t>
      </w:r>
    </w:p>
    <w:p>
      <w:pPr>
        <w:spacing w:after="100" w:before="100" w:line="300"/>
      </w:pPr>
      <w:r>
        <w:rPr>
          <w:rFonts w:ascii="Calibri" w:cs="Calibri" w:eastAsia="Calibri" w:hAnsi="Calibri"/>
          <w:sz w:val="22"/>
          <w:szCs w:val="22"/>
        </w:rPr>
        <w:t xml:space="preserve">Risk applications generate risk data — exposure, PFE, CVA, collateral, capital, and so on — and distribute that data as reports agreed with the Business over time.</w:t>
      </w:r>
    </w:p>
    <w:p>
      <w:pPr>
        <w:spacing w:after="100" w:before="100" w:line="300"/>
      </w:pPr>
      <w:r>
        <w:rPr>
          <w:rFonts w:ascii="Calibri" w:cs="Calibri" w:eastAsia="Calibri" w:hAnsi="Calibri"/>
          <w:sz w:val="22"/>
          <w:szCs w:val="22"/>
        </w:rPr>
        <w:t xml:space="preserve">There is no shared model across applications or across the Risk domain. When a question reaches across more than one application, the analyst pulls the relevant reports from each, lines them up, and reconciles the differences by hand. Group the same numbers a different way and the answer is another report.</w:t>
      </w:r>
    </w:p>
    <w:p>
      <w:pPr>
        <w:pStyle w:val="Heading2"/>
        <w:spacing w:after="160" w:before="280"/>
      </w:pPr>
      <w:r>
        <w:rPr>
          <w:rFonts w:ascii="Calibri" w:cs="Calibri" w:eastAsia="Calibri" w:hAnsi="Calibri"/>
          <w:b/>
          <w:bCs/>
          <w:sz w:val="28"/>
          <w:szCs w:val="28"/>
        </w:rPr>
        <w:t xml:space="preserve">The starting point</w:t>
      </w:r>
    </w:p>
    <w:p>
      <w:pPr>
        <w:spacing w:after="100" w:before="100" w:line="300"/>
      </w:pPr>
      <w:r>
        <w:rPr>
          <w:rFonts w:ascii="Calibri" w:cs="Calibri" w:eastAsia="Calibri" w:hAnsi="Calibri"/>
          <w:sz w:val="22"/>
          <w:szCs w:val="22"/>
        </w:rPr>
        <w:t xml:space="preserve">The shared structure that analytics needs — common dimensions, a connected domain model, governed datasets, declared semantics — does not yet exist. The only material available to build it is the data the applications generate and the logic behind it.</w:t>
      </w:r>
    </w:p>
    <w:p>
      <w:pPr>
        <w:pStyle w:val="Heading2"/>
        <w:spacing w:after="160" w:before="280"/>
      </w:pPr>
      <w:r>
        <w:rPr>
          <w:rFonts w:ascii="Calibri" w:cs="Calibri" w:eastAsia="Calibri" w:hAnsi="Calibri"/>
          <w:b/>
          <w:bCs/>
          <w:sz w:val="28"/>
          <w:szCs w:val="28"/>
        </w:rPr>
        <w:t xml:space="preserve">The journey</w:t>
      </w:r>
    </w:p>
    <w:p>
      <w:pPr>
        <w:spacing w:after="100" w:before="100" w:line="300"/>
      </w:pPr>
      <w:r>
        <w:rPr>
          <w:rFonts w:ascii="Calibri" w:cs="Calibri" w:eastAsia="Calibri" w:hAnsi="Calibri"/>
          <w:sz w:val="22"/>
          <w:szCs w:val="22"/>
        </w:rPr>
        <w:t xml:space="preserve">The Risk Data Journey describes the path from that starting point to a connected analytics layer. Six stages, each derived from what the applications produce, each adding the structure that was missing. The applications are not asked to change.</w:t>
      </w:r>
    </w:p>
    <w:p>
      <w:pPr>
        <w:spacing w:after="100" w:before="100"/>
      </w:pPr>
      <w:r>
        <w:rPr>
          <w:rFonts w:ascii="Calibri" w:cs="Calibri" w:eastAsia="Calibri" w:hAnsi="Calibri"/>
          <w:i/>
          <w:iCs/>
          <w:color w:val="888888"/>
          <w:sz w:val="22"/>
          <w:szCs w:val="22"/>
        </w:rPr>
        <w:t xml:space="preserve">[IMAGE: Risk Data Journey — paste from risk_data_visuals_all.pptx, slide titled "Risk Data Journey – From application output to trusted business analytics"]</w:t>
      </w:r>
    </w:p>
    <w:p>
      <w:pPr>
        <w:spacing w:after="100" w:before="100" w:line="300"/>
      </w:pPr>
      <w:r>
        <w:rPr>
          <w:rFonts w:ascii="Calibri" w:cs="Calibri" w:eastAsia="Calibri" w:hAnsi="Calibri"/>
          <w:sz w:val="22"/>
          <w:szCs w:val="22"/>
        </w:rPr>
        <w:t xml:space="preserve">See Architecture &amp; Design for the operational view of each stage.</w:t>
      </w:r>
    </w:p>
    <w:p>
      <w:pPr>
        <w:pStyle w:val="Heading2"/>
        <w:spacing w:after="160" w:before="280"/>
      </w:pPr>
      <w:r>
        <w:rPr>
          <w:rFonts w:ascii="Calibri" w:cs="Calibri" w:eastAsia="Calibri" w:hAnsi="Calibri"/>
          <w:b/>
          <w:bCs/>
          <w:sz w:val="28"/>
          <w:szCs w:val="28"/>
        </w:rPr>
        <w:t xml:space="preserve">Direction</w:t>
      </w:r>
    </w:p>
    <w:p>
      <w:pPr>
        <w:spacing w:after="100" w:before="100" w:line="300"/>
      </w:pPr>
      <w:r>
        <w:rPr>
          <w:rFonts w:ascii="Calibri" w:cs="Calibri" w:eastAsia="Calibri" w:hAnsi="Calibri"/>
          <w:sz w:val="22"/>
          <w:szCs w:val="22"/>
        </w:rPr>
        <w:t xml:space="preserve">A Risk Domain Model with shared dimensions, built up from Product Group level models, which are built up from app data. Curated data products joined across applications. Declared semantics that are enforced wherever the data is queried. Star schemas surfaced into BI.</w:t>
      </w:r>
    </w:p>
    <w:p>
      <w:pPr>
        <w:spacing w:after="100" w:before="100" w:line="300"/>
      </w:pPr>
      <w:r>
        <w:rPr>
          <w:rFonts w:ascii="Calibri" w:cs="Calibri" w:eastAsia="Calibri" w:hAnsi="Calibri"/>
          <w:sz w:val="22"/>
          <w:szCs w:val="22"/>
        </w:rPr>
        <w:t xml:space="preserve">Consumers query governed analytics products rather than manually reconciling application-specific reports. The objective is analytics that is trusted, scalable, and reusable across the Risk domain.</w:t>
      </w:r>
    </w:p>
    <w:p>
      <w:pPr>
        <w:pStyle w:val="Heading2"/>
        <w:spacing w:after="160" w:before="280"/>
      </w:pPr>
      <w:r>
        <w:rPr>
          <w:rFonts w:ascii="Calibri" w:cs="Calibri" w:eastAsia="Calibri" w:hAnsi="Calibri"/>
          <w:b/>
          <w:bCs/>
          <w:sz w:val="28"/>
          <w:szCs w:val="28"/>
        </w:rPr>
        <w:t xml:space="preserve">Today vs Future State</w:t>
      </w:r>
    </w:p>
    <w:p>
      <w:pPr>
        <w:spacing w:after="100" w:before="100"/>
      </w:pPr>
      <w:r>
        <w:rPr>
          <w:rFonts w:ascii="Calibri" w:cs="Calibri" w:eastAsia="Calibri" w:hAnsi="Calibri"/>
          <w:i/>
          <w:iCs/>
          <w:color w:val="888888"/>
          <w:sz w:val="22"/>
          <w:szCs w:val="22"/>
        </w:rPr>
        <w:t xml:space="preserve">[IMAGE: Today vs Future State — paste from risk_data_visuals_all.pptx, slide titled "Today vs Future State – Same business question · two consumer experiences"]</w:t>
      </w:r>
    </w:p>
    <w:p>
      <w:pPr>
        <w:spacing w:after="100" w:before="100" w:line="300"/>
      </w:pPr>
      <w:r>
        <w:rPr>
          <w:rFonts w:ascii="Calibri" w:cs="Calibri" w:eastAsia="Calibri" w:hAnsi="Calibri"/>
          <w:sz w:val="22"/>
          <w:szCs w:val="22"/>
        </w:rPr>
        <w:t xml:space="preserve">Same business question, different consumer experience depending on whether the underlying data is application-centric or analytics-centric.</w:t>
      </w:r>
    </w:p>
    <w:p>
      <w:pPr>
        <w:pStyle w:val="Heading2"/>
        <w:spacing w:after="160" w:before="280"/>
      </w:pPr>
      <w:r>
        <w:rPr>
          <w:rFonts w:ascii="Calibri" w:cs="Calibri" w:eastAsia="Calibri" w:hAnsi="Calibri"/>
          <w:b/>
          <w:bCs/>
          <w:sz w:val="28"/>
          <w:szCs w:val="28"/>
        </w:rPr>
        <w:t xml:space="preserve">Risk Data, Applications, and User Experience — Current &amp; New</w:t>
      </w:r>
    </w:p>
    <w:p>
      <w:pPr>
        <w:spacing w:after="100" w:before="100"/>
      </w:pPr>
      <w:r>
        <w:rPr>
          <w:rFonts w:ascii="Calibri" w:cs="Calibri" w:eastAsia="Calibri" w:hAnsi="Calibri"/>
          <w:i/>
          <w:iCs/>
          <w:color w:val="888888"/>
          <w:sz w:val="22"/>
          <w:szCs w:val="22"/>
        </w:rPr>
        <w:t xml:space="preserve">[IMAGE: Risk-Data / Applications / User Experience — paste from Risk technology architecture.pptx, "Current &amp; New" slide]</w:t>
      </w:r>
    </w:p>
    <w:p>
      <w:pPr>
        <w:spacing w:after="100" w:before="100" w:line="300"/>
      </w:pPr>
      <w:r>
        <w:rPr>
          <w:rFonts w:ascii="Calibri" w:cs="Calibri" w:eastAsia="Calibri" w:hAnsi="Calibri"/>
          <w:sz w:val="22"/>
          <w:szCs w:val="22"/>
        </w:rPr>
        <w:t xml:space="preserve">Today, every application persists data in its own technology — Postgres, HDFS, Cassandra, SQL Server, HBase, Druid — and each delivers value through its own canned reports, custom UIs, and dashboards. The new state consolidates the analytics layer onto Databricks: Raw → Silver → Gold, accessed through Unity Catalog, with the warehouse layer served by Databricks SQL and processing in SQL, Python, or Scala notebooks. Data copy only by design — see Architecture &amp; Design.</w:t>
      </w:r>
    </w:p>
    <w:p>
      <w:r>
        <w:br w:type="page"/>
      </w:r>
    </w:p>
    <w:p>
      <w:pPr>
        <w:pStyle w:val="Heading1"/>
        <w:spacing w:after="200" w:before="360"/>
      </w:pPr>
      <w:r>
        <w:rPr>
          <w:rFonts w:ascii="Calibri" w:cs="Calibri" w:eastAsia="Calibri" w:hAnsi="Calibri"/>
          <w:b/>
          <w:bCs/>
          <w:sz w:val="36"/>
          <w:szCs w:val="36"/>
        </w:rPr>
        <w:t xml:space="preserve">PAGE: Risk Data — Operating Model &amp; Standards</w:t>
      </w:r>
    </w:p>
    <w:p>
      <w:pPr>
        <w:pBdr>
          <w:left w:val="single" w:color="B0B0B0" w:sz="18" w:space="12"/>
        </w:pBdr>
        <w:spacing w:after="200" w:before="80" w:line="300"/>
        <w:ind w:left="200"/>
      </w:pPr>
      <w:r>
        <w:rPr>
          <w:rFonts w:ascii="Calibri" w:cs="Calibri" w:eastAsia="Calibri" w:hAnsi="Calibri"/>
          <w:i/>
          <w:iCs/>
          <w:color w:val="555555"/>
          <w:sz w:val="22"/>
          <w:szCs w:val="22"/>
        </w:rPr>
        <w:t xml:space="preserve">This space sits under the Risk Analytics — North Star direction. It documents how Risk Data operates day to day: the architecture, the standards, and the templates used across Risk applications and analytics.</w:t>
      </w:r>
    </w:p>
    <w:p>
      <w:pPr>
        <w:pStyle w:val="Heading2"/>
        <w:spacing w:after="160" w:before="280"/>
      </w:pPr>
      <w:r>
        <w:rPr>
          <w:rFonts w:ascii="Calibri" w:cs="Calibri" w:eastAsia="Calibri" w:hAnsi="Calibri"/>
          <w:b/>
          <w:bCs/>
          <w:sz w:val="28"/>
          <w:szCs w:val="28"/>
        </w:rPr>
        <w:t xml:space="preserve">Pages</w:t>
      </w:r>
    </w:p>
    <w:p>
      <w:pPr>
        <w:spacing w:after="100" w:before="100" w:line="300"/>
      </w:pPr>
      <w:r>
        <w:rPr>
          <w:rFonts w:ascii="Calibri" w:cs="Calibri" w:eastAsia="Calibri" w:hAnsi="Calibri"/>
          <w:sz w:val="22"/>
          <w:szCs w:val="22"/>
        </w:rPr>
        <w:t xml:space="preserve">Replace each [PASTE CONFLUENCE LINK HERE] with the URL of the corresponding child page after the page is created in Confluence.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Page</w:t>
            </w:r>
          </w:p>
        </w:tc>
        <w:tc>
          <w:tcPr>
            <w:tcW w:type="dxa" w:w="54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Contents</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1. Architecture &amp; Design  [PASTE CONFLUENCE LINK HERE]</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 domain context, data journey, Databricks landscape and resolution path, three views of the data, artifact types, code and update behaviours, 360-style product pattern</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2. Standards &amp; Artifacts Library  [PASTE CONFLUENCE LINK HERE]</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Onboarding form, data contract template, Unity Catalog tag standards, schema and catalog standard, semantic layer template, report-promotion addendum</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3. Glossary &amp; Terminology  [PASTE CONFLUENCE LINK HERE]</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Shared vocabulary; pointers to where each term is used in detail</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4. Worked Example — Counterparty 360 Product  [PASTE CONFLUENCE LINK HERE]</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End-to-end illustration of the layered product pattern</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5. From Risk Reports to Governed Data Products  [PASTE CONFLUENCE LINK HERE]</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How existing risk reports formalise into governed data products in the Risk Warehouse</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6. Governance &amp; Cadence  [PASTE CONFLUENCE LINK HERE]</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Meetings, project roster, change management</w:t>
            </w:r>
          </w:p>
        </w:tc>
      </w:tr>
    </w:tbl>
    <w:p>
      <w:pPr>
        <w:pStyle w:val="Heading2"/>
        <w:spacing w:after="160" w:before="280"/>
      </w:pPr>
      <w:r>
        <w:rPr>
          <w:rFonts w:ascii="Calibri" w:cs="Calibri" w:eastAsia="Calibri" w:hAnsi="Calibri"/>
          <w:b/>
          <w:bCs/>
          <w:sz w:val="28"/>
          <w:szCs w:val="28"/>
        </w:rPr>
        <w:t xml:space="preserve">Quick links</w:t>
      </w:r>
    </w:p>
    <w:p>
      <w:pPr>
        <w:pStyle w:val="ListParagraph"/>
        <w:numPr>
          <w:ilvl w:val="0"/>
          <w:numId w:val="2"/>
        </w:numPr>
        <w:spacing w:after="60" w:before="60" w:line="280"/>
      </w:pPr>
      <w:r>
        <w:rPr>
          <w:rFonts w:ascii="Calibri" w:cs="Calibri" w:eastAsia="Calibri" w:hAnsi="Calibri"/>
          <w:sz w:val="22"/>
          <w:szCs w:val="22"/>
        </w:rPr>
        <w:t xml:space="preserve">CDO Standards &amp; Policies  [PASTE CONFLUENCE LINK HERE]</w:t>
      </w:r>
    </w:p>
    <w:p>
      <w:pPr>
        <w:pStyle w:val="ListParagraph"/>
        <w:numPr>
          <w:ilvl w:val="0"/>
          <w:numId w:val="2"/>
        </w:numPr>
        <w:spacing w:after="60" w:before="60" w:line="280"/>
      </w:pPr>
      <w:r>
        <w:rPr>
          <w:rFonts w:ascii="Calibri" w:cs="Calibri" w:eastAsia="Calibri" w:hAnsi="Calibri"/>
          <w:sz w:val="22"/>
          <w:szCs w:val="22"/>
        </w:rPr>
        <w:t xml:space="preserve">Enterprise Architecture wiki  [PASTE CONFLUENCE LINK HERE]</w:t>
      </w:r>
    </w:p>
    <w:p>
      <w:pPr>
        <w:pStyle w:val="ListParagraph"/>
        <w:numPr>
          <w:ilvl w:val="0"/>
          <w:numId w:val="2"/>
        </w:numPr>
        <w:spacing w:after="60" w:before="60" w:line="280"/>
      </w:pPr>
      <w:r>
        <w:rPr>
          <w:rFonts w:ascii="Calibri" w:cs="Calibri" w:eastAsia="Calibri" w:hAnsi="Calibri"/>
          <w:sz w:val="22"/>
          <w:szCs w:val="22"/>
        </w:rPr>
        <w:t xml:space="preserve">Data Sharing  [PASTE CONFLUENCE LINK HERE]</w:t>
      </w:r>
    </w:p>
    <w:p>
      <w:pPr>
        <w:pStyle w:val="ListParagraph"/>
        <w:numPr>
          <w:ilvl w:val="0"/>
          <w:numId w:val="2"/>
        </w:numPr>
        <w:spacing w:after="60" w:before="60" w:line="280"/>
      </w:pPr>
      <w:r>
        <w:rPr>
          <w:rFonts w:ascii="Calibri" w:cs="Calibri" w:eastAsia="Calibri" w:hAnsi="Calibri"/>
          <w:sz w:val="22"/>
          <w:szCs w:val="22"/>
        </w:rPr>
        <w:t xml:space="preserve">Enterprise Data Classification  [PASTE CONFLUENCE LINK HERE]</w:t>
      </w:r>
    </w:p>
    <w:p>
      <w:pPr>
        <w:pStyle w:val="ListParagraph"/>
        <w:numPr>
          <w:ilvl w:val="0"/>
          <w:numId w:val="2"/>
        </w:numPr>
        <w:spacing w:after="60" w:before="60" w:line="280"/>
      </w:pPr>
      <w:r>
        <w:rPr>
          <w:rFonts w:ascii="Calibri" w:cs="Calibri" w:eastAsia="Calibri" w:hAnsi="Calibri"/>
          <w:sz w:val="22"/>
          <w:szCs w:val="22"/>
        </w:rPr>
        <w:t xml:space="preserve">Risk Analytics — North Star  [PASTE CONFLUENCE LINK HERE]</w:t>
      </w:r>
    </w:p>
    <w:p>
      <w:pPr>
        <w:pStyle w:val="ListParagraph"/>
        <w:numPr>
          <w:ilvl w:val="0"/>
          <w:numId w:val="2"/>
        </w:numPr>
        <w:spacing w:after="60" w:before="60" w:line="280"/>
      </w:pPr>
      <w:r>
        <w:rPr>
          <w:rFonts w:ascii="Calibri" w:cs="Calibri" w:eastAsia="Calibri" w:hAnsi="Calibri"/>
          <w:sz w:val="22"/>
          <w:szCs w:val="22"/>
        </w:rPr>
        <w:t xml:space="preserve">Risk-Databricks Operating Model  [PASTE CONFLUENCE LINK HERE]</w:t>
      </w:r>
    </w:p>
    <w:p>
      <w:r>
        <w:br w:type="page"/>
      </w:r>
    </w:p>
    <w:p>
      <w:pPr>
        <w:pStyle w:val="Heading1"/>
        <w:spacing w:after="200" w:before="360"/>
      </w:pPr>
      <w:r>
        <w:rPr>
          <w:rFonts w:ascii="Calibri" w:cs="Calibri" w:eastAsia="Calibri" w:hAnsi="Calibri"/>
          <w:b/>
          <w:bCs/>
          <w:sz w:val="36"/>
          <w:szCs w:val="36"/>
        </w:rPr>
        <w:t xml:space="preserve">PAGE: 1. Architecture &amp; Design</w:t>
      </w:r>
    </w:p>
    <w:p>
      <w:pPr>
        <w:pBdr>
          <w:left w:val="single" w:color="B0B0B0" w:sz="18" w:space="12"/>
        </w:pBdr>
        <w:spacing w:after="200" w:before="80" w:line="300"/>
        <w:ind w:left="200"/>
      </w:pPr>
      <w:r>
        <w:rPr>
          <w:rFonts w:ascii="Calibri" w:cs="Calibri" w:eastAsia="Calibri" w:hAnsi="Calibri"/>
          <w:i/>
          <w:iCs/>
          <w:color w:val="555555"/>
          <w:sz w:val="22"/>
          <w:szCs w:val="22"/>
        </w:rPr>
        <w:t xml:space="preserve">The North Star calls for a connected analytics layer — a Risk Domain Model with shared dimensions, governed data products, declared semantics, and BI on top. This page describes how that layer is built on Databricks: the data domain context, the journey, the resolution path, the three views, the artifact types, where code lives, update behaviours, and the layered pattern used for cross-product views like Counterparty 360.</w:t>
      </w:r>
    </w:p>
    <w:p>
      <w:pPr>
        <w:pStyle w:val="Heading2"/>
        <w:spacing w:after="160" w:before="280"/>
      </w:pPr>
      <w:r>
        <w:rPr>
          <w:rFonts w:ascii="Calibri" w:cs="Calibri" w:eastAsia="Calibri" w:hAnsi="Calibri"/>
          <w:b/>
          <w:bCs/>
          <w:sz w:val="28"/>
          <w:szCs w:val="28"/>
        </w:rPr>
        <w:t xml:space="preserve">Data domain context</w:t>
      </w:r>
    </w:p>
    <w:p>
      <w:pPr>
        <w:spacing w:after="100" w:before="100"/>
      </w:pPr>
      <w:r>
        <w:rPr>
          <w:rFonts w:ascii="Calibri" w:cs="Calibri" w:eastAsia="Calibri" w:hAnsi="Calibri"/>
          <w:i/>
          <w:iCs/>
          <w:color w:val="888888"/>
          <w:sz w:val="22"/>
          <w:szCs w:val="22"/>
        </w:rPr>
        <w:t xml:space="preserve">[IMAGE: TDS Data Operating Model — Data Domains — paste TDS canonical domains diagram]</w:t>
      </w:r>
    </w:p>
    <w:p>
      <w:pPr>
        <w:spacing w:after="100" w:before="100" w:line="300"/>
      </w:pPr>
      <w:r>
        <w:rPr>
          <w:rFonts w:ascii="Calibri" w:cs="Calibri" w:eastAsia="Calibri" w:hAnsi="Calibri"/>
          <w:sz w:val="22"/>
          <w:szCs w:val="22"/>
        </w:rPr>
        <w:t xml:space="preserve">The enterprise Canonical Data Model (CDM) organises TDS data into twelve domains in a defined sequence: Pre-Trade, Post-Trade, Position, Payments, Derived Data and Metrics, Transactions, GL, Reference and Master Data, Product/Instrument, 3rd Party Market Data, Internal Pricing Data, and Research.</w:t>
      </w:r>
    </w:p>
    <w:p>
      <w:pPr>
        <w:spacing w:after="100" w:before="100" w:line="300"/>
      </w:pPr>
      <w:r>
        <w:rPr>
          <w:rFonts w:ascii="Calibri" w:cs="Calibri" w:eastAsia="Calibri" w:hAnsi="Calibri"/>
          <w:sz w:val="22"/>
          <w:szCs w:val="22"/>
        </w:rPr>
        <w:t xml:space="preserve">Risk owns Domain #5 — Derived Data and Metrics. This domain covers risk sensitivities and portfolio metrics (such as VaR and xVA), valuations (MTM), projected cash flows, collateral, and PnL. Everything Risk produces fits into this domain.</w:t>
      </w:r>
    </w:p>
    <w:p>
      <w:pPr>
        <w:spacing w:after="100" w:before="100" w:line="300"/>
      </w:pPr>
      <w:r>
        <w:rPr>
          <w:rFonts w:ascii="Calibri" w:cs="Calibri" w:eastAsia="Calibri" w:hAnsi="Calibri"/>
          <w:sz w:val="22"/>
          <w:szCs w:val="22"/>
        </w:rPr>
        <w:t xml:space="preserve">The other eleven domains are upstream of Risk. Risk consumes from them — trades from Pre-Trade and Post-Trade, positions from Position, reference and master data, product and instrument data, market data, and so on. The Risk Domain Model that this space is building is Risk's contribution back to the enterprise CDM for Domain #5.</w:t>
      </w:r>
    </w:p>
    <w:p>
      <w:pPr>
        <w:pStyle w:val="Heading2"/>
        <w:spacing w:after="160" w:before="280"/>
      </w:pPr>
      <w:r>
        <w:rPr>
          <w:rFonts w:ascii="Calibri" w:cs="Calibri" w:eastAsia="Calibri" w:hAnsi="Calibri"/>
          <w:b/>
          <w:bCs/>
          <w:sz w:val="28"/>
          <w:szCs w:val="28"/>
        </w:rPr>
        <w:t xml:space="preserve">Data journey</w:t>
      </w:r>
    </w:p>
    <w:p>
      <w:pPr>
        <w:spacing w:after="100" w:before="100"/>
      </w:pPr>
      <w:r>
        <w:rPr>
          <w:rFonts w:ascii="Calibri" w:cs="Calibri" w:eastAsia="Calibri" w:hAnsi="Calibri"/>
          <w:i/>
          <w:iCs/>
          <w:color w:val="888888"/>
          <w:sz w:val="22"/>
          <w:szCs w:val="22"/>
        </w:rPr>
        <w:t xml:space="preserve">[IMAGE: Data Journey — paste from risk_data_visuals_all.pptx, slide titled "Data Journey – From your app to trusted analytics"]</w:t>
      </w:r>
    </w:p>
    <w:p>
      <w:pPr>
        <w:spacing w:after="100" w:before="100" w:line="300"/>
      </w:pPr>
      <w:r>
        <w:rPr>
          <w:rFonts w:ascii="Calibri" w:cs="Calibri" w:eastAsia="Calibri" w:hAnsi="Calibri"/>
          <w:sz w:val="22"/>
          <w:szCs w:val="22"/>
        </w:rPr>
        <w:t xml:space="preserve">The journey from app-generated data to consumed analytics goes through six stages. Each stage builds on the previous one and adds something the previous stage did not have. Stages 2 and 3 are where the resolution from app schema to Product Group model to Risk Domain Model happens — see Databricks landscape below for the catalog and schema view of the same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Stage</w:t>
            </w:r>
          </w:p>
        </w:tc>
        <w:tc>
          <w:tcPr>
            <w:tcW w:type="dxa" w:w="64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this stage adds to the journey</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① Raw / Landed</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starting material. Each application lands the risk data it generates into its own schema in Databricks (the malcode-specific schema). The data arrives in the application's own shape and naming. Much of what arrives is the same content the application also distributes as reports. Nothing is interpreted at this stage.</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② Conformed</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Shared dimensions are introduced. A dimension is something the data is sliced by — counterparty, trade, currency, time bucket, book, desk. None of these exist as shared concepts across applications today. They are derived here from the contents of the landed data and the application logic behind it. After this stage, the same counterparty (or trade, or currency) means the same thing across every application.</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③ Risk Domain Model and curated datasets</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connected model of Risk entities and their relationships, expressed as a domain model. The landed data is reorganised against this model, joined across applications using the conformed dimensions, and aggregated to levels that match the questions analytics needs to answer (for example, one row per counterparty per day). This is also the resolution stage — application-level schemas resolve up to Product Group models, which resolve up to the Risk Domain Model.</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④ Governed data products</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curated dataset paired with the rules of its use: what it means, who owns it, how it can be used, how often it refreshes, and how it changes over time. These rules are recorded in a contract — a structured definition file kept with the dataset. The dataset is tagged in Unity Catalog and registered in Collibra. From this stage, consumers know what they are getting and how to use it.</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⑤ Declared semantics</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Aggregation rules and business behaviour are declared once, centrally, and applied automatically when someone queries the data. A measure that should not be summed across counterparties (such as PFE) cannot be summed by mistake — the query is either refused or rewritten. Star schemas built from the data products carry these declared semantics with them.</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⑥ Analytics in BI</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Star schemas surface in BI tools, dashboards, ad-hoc queries, regulatory feeds, and model inputs. The declared semantics from the previous stage are honoured in the BI tool, so the answer is the same whether the question is asked from a dashboard, a notebook, or an ad-hoc query.</w:t>
            </w:r>
          </w:p>
        </w:tc>
      </w:tr>
    </w:tbl>
    <w:p>
      <w:pPr>
        <w:spacing w:after="100" w:before="100" w:line="300"/>
      </w:pPr>
      <w:r>
        <w:rPr>
          <w:rFonts w:ascii="Calibri" w:cs="Calibri" w:eastAsia="Calibri" w:hAnsi="Calibri"/>
          <w:sz w:val="22"/>
          <w:szCs w:val="22"/>
        </w:rPr>
        <w:t xml:space="preserve">Note: Authoritative and Certified are properties a data product can have — they are not separate stages on this journey.</w:t>
      </w:r>
    </w:p>
    <w:p>
      <w:pPr>
        <w:spacing w:after="100" w:before="100" w:line="300"/>
      </w:pPr>
      <w:r>
        <w:rPr>
          <w:rFonts w:ascii="Calibri" w:cs="Calibri" w:eastAsia="Calibri" w:hAnsi="Calibri"/>
          <w:sz w:val="22"/>
          <w:szCs w:val="22"/>
        </w:rPr>
        <w:t xml:space="preserve">For existing reports, see "From Risk Reports to Governed Data Products" — promoted reports enter the journey at Stage 3, 4, 5, or 6 rather than starting at Stage 1.</w:t>
      </w:r>
    </w:p>
    <w:p>
      <w:pPr>
        <w:pStyle w:val="Heading2"/>
        <w:spacing w:after="160" w:before="280"/>
      </w:pPr>
      <w:r>
        <w:rPr>
          <w:rFonts w:ascii="Calibri" w:cs="Calibri" w:eastAsia="Calibri" w:hAnsi="Calibri"/>
          <w:b/>
          <w:bCs/>
          <w:sz w:val="28"/>
          <w:szCs w:val="28"/>
        </w:rPr>
        <w:t xml:space="preserve">Databricks landscape and resolution path</w:t>
      </w:r>
    </w:p>
    <w:p>
      <w:pPr>
        <w:spacing w:after="100" w:before="100"/>
      </w:pPr>
      <w:r>
        <w:rPr>
          <w:rFonts w:ascii="Calibri" w:cs="Calibri" w:eastAsia="Calibri" w:hAnsi="Calibri"/>
          <w:i/>
          <w:iCs/>
          <w:color w:val="888888"/>
          <w:sz w:val="22"/>
          <w:szCs w:val="22"/>
        </w:rPr>
        <w:t xml:space="preserve">[IMAGE: Databricks Operating Model — Unified Risk Domain Model — paste account/workspace/catalog hierarchy diagram with A → B → C resolution]</w:t>
      </w:r>
    </w:p>
    <w:p>
      <w:pPr>
        <w:spacing w:after="100" w:before="100" w:line="300"/>
      </w:pPr>
      <w:r>
        <w:rPr>
          <w:rFonts w:ascii="Calibri" w:cs="Calibri" w:eastAsia="Calibri" w:hAnsi="Calibri"/>
          <w:sz w:val="22"/>
          <w:szCs w:val="22"/>
        </w:rPr>
        <w:t xml:space="preserve">Databricks is the platform on which the analytics layer is built. The hierarchy follows the standard Databricks structure: one TDS account at the top, with workspaces underneath, a metastore per region, and catalogs and schemas inside the metastore.</w:t>
      </w:r>
    </w:p>
    <w:p>
      <w:pPr>
        <w:pStyle w:val="Heading3"/>
        <w:spacing w:after="140" w:before="220"/>
      </w:pPr>
      <w:r>
        <w:rPr>
          <w:rFonts w:ascii="Calibri" w:cs="Calibri" w:eastAsia="Calibri" w:hAnsi="Calibri"/>
          <w:b/>
          <w:bCs/>
          <w:sz w:val="24"/>
          <w:szCs w:val="24"/>
        </w:rPr>
        <w:t xml:space="preserve">Account, workspace, and metastore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w:t>
            </w:r>
          </w:p>
        </w:tc>
        <w:tc>
          <w:tcPr>
            <w:tcW w:type="dxa" w:w="64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it is</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Databricks-TDS Account</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Top-level container for all Databricks assets. One per organisation.</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Workspace</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Environment for notebooks, jobs, and clusters. Where users work. Catalogs and schemas are defined here. The Risk workspace is adb_dev03.</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Metastore</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Unity Catalog governance layer. One per region. Links to the workspaces in the same region.</w:t>
            </w:r>
          </w:p>
        </w:tc>
      </w:tr>
    </w:tbl>
    <w:p>
      <w:pPr>
        <w:pStyle w:val="Heading3"/>
        <w:spacing w:after="140" w:before="220"/>
      </w:pPr>
      <w:r>
        <w:rPr>
          <w:rFonts w:ascii="Calibri" w:cs="Calibri" w:eastAsia="Calibri" w:hAnsi="Calibri"/>
          <w:b/>
          <w:bCs/>
          <w:sz w:val="24"/>
          <w:szCs w:val="24"/>
        </w:rPr>
        <w:t xml:space="preserve">Catalog and schema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680"/>
        <w:gridCol w:w="2160"/>
      </w:tblGrid>
      <w:tr>
        <w:trPr>
          <w:tblHeader/>
        </w:trPr>
        <w:tc>
          <w:tcPr>
            <w:tcW w:type="dxa" w:w="25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Catalog</w:t>
            </w:r>
          </w:p>
        </w:tc>
        <w:tc>
          <w:tcPr>
            <w:tcW w:type="dxa" w:w="46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Contents</w:t>
            </w:r>
          </w:p>
        </w:tc>
        <w:tc>
          <w:tcPr>
            <w:tcW w:type="dxa" w:w="21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Owner</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creditrisk, marketrisk, liquidity, finance</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catalog per Product Group. Each catalog contains one schema per app — the malcode-specific schema (for example, creditrisk.xvala, creditrisk.cmos, creditrisk.tcc, creditrisk.regds). The application lands its generated data into its malcode-specific schema.</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 (catalog), App team (data within the malcode-specific schema)</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riskwh</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Risk warehouse catalog. Contains the resolved Product Group models, the Risk Domain Model, curated data products, the semantic layer, and the sandbox.</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risk_governance</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Governance metadata: contract registry, lineage, tag reference.</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w:t>
            </w:r>
          </w:p>
        </w:tc>
      </w:tr>
    </w:tbl>
    <w:p>
      <w:pPr>
        <w:pStyle w:val="Heading3"/>
        <w:spacing w:after="140" w:before="220"/>
      </w:pPr>
      <w:r>
        <w:rPr>
          <w:rFonts w:ascii="Calibri" w:cs="Calibri" w:eastAsia="Calibri" w:hAnsi="Calibri"/>
          <w:b/>
          <w:bCs/>
          <w:sz w:val="24"/>
          <w:szCs w:val="24"/>
        </w:rPr>
        <w:t xml:space="preserve">The resolution path: A → B → C</w:t>
      </w:r>
    </w:p>
    <w:p>
      <w:pPr>
        <w:spacing w:after="100" w:before="100" w:line="300"/>
      </w:pPr>
      <w:r>
        <w:rPr>
          <w:rFonts w:ascii="Calibri" w:cs="Calibri" w:eastAsia="Calibri" w:hAnsi="Calibri"/>
          <w:sz w:val="22"/>
          <w:szCs w:val="22"/>
        </w:rPr>
        <w:t xml:space="preserve">Data does not stay at the application level. It resolves upward through three steps, each one widening the scope from app to Product Group to Risk Domain. The resolution is a model resolution, not a data copy — wherever possible, higher levels are views over the lower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680"/>
        <w:gridCol w:w="2160"/>
      </w:tblGrid>
      <w:tr>
        <w:trPr>
          <w:tblHeader/>
        </w:trPr>
        <w:tc>
          <w:tcPr>
            <w:tcW w:type="dxa" w:w="25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Step</w:t>
            </w:r>
          </w:p>
        </w:tc>
        <w:tc>
          <w:tcPr>
            <w:tcW w:type="dxa" w:w="46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resolves</w:t>
            </w:r>
          </w:p>
        </w:tc>
        <w:tc>
          <w:tcPr>
            <w:tcW w:type="dxa" w:w="21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Where it lives</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 — App / project level</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Generated data and model are currently at project or app level. Each application lands its data into its malcode-specific schema. The model, where it exists, describes what one application produces.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&lt;pg_catalog&gt;.&lt;app_name&gt;  (e.g. creditrisk.xvala)</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B — Product Group level</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Project-level schemas resolve into a product-level data model — the Product Group model. Conformed dimensions and shared definitions are introduced here, across the apps that sit inside one PG. Currently in build for credit risk, market risk, liquidity, and finance.</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riskwh.pg_models (PG-level views and tables)</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 — Risk Domain level</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Product Group data models resolve into the Risk Domain Model — business objects, not application or project specific. This is Risk's contribution to enterprise CDM Domain #5 (Derived Data and Metrics).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riskwh.risk_domain (Risk Domain Model entities)</w:t>
            </w:r>
          </w:p>
        </w:tc>
      </w:tr>
    </w:tbl>
    <w:p>
      <w:pPr>
        <w:pStyle w:val="Heading3"/>
        <w:spacing w:after="140" w:before="220"/>
      </w:pPr>
      <w:r>
        <w:rPr>
          <w:rFonts w:ascii="Calibri" w:cs="Calibri" w:eastAsia="Calibri" w:hAnsi="Calibri"/>
          <w:b/>
          <w:bCs/>
          <w:sz w:val="24"/>
          <w:szCs w:val="24"/>
        </w:rPr>
        <w:t xml:space="preserve">How a piece of data moves through the resolution</w:t>
      </w:r>
    </w:p>
    <w:p>
      <w:pPr>
        <w:spacing w:after="100" w:before="100" w:line="300"/>
      </w:pPr>
      <w:r>
        <w:rPr>
          <w:rFonts w:ascii="Calibri" w:cs="Calibri" w:eastAsia="Calibri" w:hAnsi="Calibri"/>
          <w:sz w:val="22"/>
          <w:szCs w:val="22"/>
        </w:rPr>
        <w:t xml:space="preserve">An exposure record produced by XVALA is written into creditrisk.xvala — the malcode-specific schema for that application. At step B, the Credit Risk Product Group model brings together exposure records from XVALA with collateral records from CMOS and limit records from TCC, all keyed by a conformed counterparty identifier and a conformed time bucket. At step C, the Risk Domain Model surfaces a Risk-wide view of exposure that is no longer specific to credit risk: market risk and liquidity contribute their own measures alongside, all keyed against the same shared dimensions. From there, governed data products and the semantic layer are built. The analyst queries the Risk Domain Model or the data products on top of it — and never has to know whether the underlying record came from XVALA, CMOS, TCC, or a market risk app.</w:t>
      </w:r>
    </w:p>
    <w:p>
      <w:pPr>
        <w:pStyle w:val="Heading2"/>
        <w:spacing w:after="160" w:before="280"/>
      </w:pPr>
      <w:r>
        <w:rPr>
          <w:rFonts w:ascii="Calibri" w:cs="Calibri" w:eastAsia="Calibri" w:hAnsi="Calibri"/>
          <w:b/>
          <w:bCs/>
          <w:sz w:val="28"/>
          <w:szCs w:val="28"/>
        </w:rPr>
        <w:t xml:space="preserve">Three views of the same data</w:t>
      </w:r>
    </w:p>
    <w:p>
      <w:pPr>
        <w:spacing w:after="100" w:before="100"/>
      </w:pPr>
      <w:r>
        <w:rPr>
          <w:rFonts w:ascii="Calibri" w:cs="Calibri" w:eastAsia="Calibri" w:hAnsi="Calibri"/>
          <w:i/>
          <w:iCs/>
          <w:color w:val="888888"/>
          <w:sz w:val="22"/>
          <w:szCs w:val="22"/>
        </w:rPr>
        <w:t xml:space="preserve">[IMAGE: Risk Data Operating Model — Risk View vs Product Group View vs App View — paste from Risk Analytics – Databricks v1.pptx]</w:t>
      </w:r>
    </w:p>
    <w:p>
      <w:pPr>
        <w:spacing w:after="100" w:before="100" w:line="300"/>
      </w:pPr>
      <w:r>
        <w:rPr>
          <w:rFonts w:ascii="Calibri" w:cs="Calibri" w:eastAsia="Calibri" w:hAnsi="Calibri"/>
          <w:sz w:val="22"/>
          <w:szCs w:val="22"/>
        </w:rPr>
        <w:t xml:space="preserve">The same physical data in Databricks is read through three different lenses, depending on who is looking 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rPr>
          <w:tblHeader/>
        </w:trPr>
        <w:tc>
          <w:tcPr>
            <w:tcW w:type="dxa" w:w="21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View</w:t>
            </w:r>
          </w:p>
        </w:tc>
        <w:tc>
          <w:tcPr>
            <w:tcW w:type="dxa" w:w="54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the viewer sees</w:t>
            </w:r>
          </w:p>
        </w:tc>
        <w:tc>
          <w:tcPr>
            <w:tcW w:type="dxa" w:w="18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Scope</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App view</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application team sees its own malcode-specific schema and the data its application has generated. The model, where it exists, is application-specific.</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app inside one PG</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Product Group view</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PG Leader and PG-level consumers see a conformed model across the apps inside one Product Group. Conformed dimensions, shared definitions, cross-app relationships within the PG.</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 apps inside one PG</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 view</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 Data and central consumers see the Risk Domain Model — a connected view across all four PGs. This is the view that contributes to the enterprise CDM.</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 PGs across the Risk domain</w:t>
            </w:r>
          </w:p>
        </w:tc>
      </w:tr>
    </w:tbl>
    <w:p>
      <w:pPr>
        <w:spacing w:after="100" w:before="100" w:line="300"/>
      </w:pPr>
      <w:r>
        <w:rPr>
          <w:rFonts w:ascii="Calibri" w:cs="Calibri" w:eastAsia="Calibri" w:hAnsi="Calibri"/>
          <w:sz w:val="22"/>
          <w:szCs w:val="22"/>
        </w:rPr>
        <w:t xml:space="preserve">The three views are not three copies of the data. They are three lenses over the same physical data, with each higher-level lens layering shared definitions and broader scope on top of the layer below it. A change to the underlying data is visible to all three views — immediately for views, at the next refresh for materialised copies.</w:t>
      </w:r>
    </w:p>
    <w:p>
      <w:pPr>
        <w:pStyle w:val="Heading2"/>
        <w:spacing w:after="160" w:before="280"/>
      </w:pPr>
      <w:r>
        <w:rPr>
          <w:rFonts w:ascii="Calibri" w:cs="Calibri" w:eastAsia="Calibri" w:hAnsi="Calibri"/>
          <w:b/>
          <w:bCs/>
          <w:sz w:val="28"/>
          <w:szCs w:val="28"/>
        </w:rPr>
        <w:t xml:space="preserve">When apps consume from the warehouse</w:t>
      </w:r>
    </w:p>
    <w:p>
      <w:pPr>
        <w:spacing w:after="100" w:before="100" w:line="300"/>
      </w:pPr>
      <w:r>
        <w:rPr>
          <w:rFonts w:ascii="Calibri" w:cs="Calibri" w:eastAsia="Calibri" w:hAnsi="Calibri"/>
          <w:sz w:val="22"/>
          <w:szCs w:val="22"/>
        </w:rPr>
        <w:t xml:space="preserve">Some applications also need to read upstream data alongside the data they generate (for example, ALFA reads from Druid-ALFA before producing its own outputs). Where this is needed, upstream data is brought into the sandbox area of riskwh and made available to the app within the same governance boundary.</w:t>
      </w:r>
    </w:p>
    <w:p>
      <w:pPr>
        <w:pStyle w:val="Heading2"/>
        <w:spacing w:after="160" w:before="280"/>
      </w:pPr>
      <w:r>
        <w:rPr>
          <w:rFonts w:ascii="Calibri" w:cs="Calibri" w:eastAsia="Calibri" w:hAnsi="Calibri"/>
          <w:b/>
          <w:bCs/>
          <w:sz w:val="28"/>
          <w:szCs w:val="28"/>
        </w:rPr>
        <w:t xml:space="preserve">Data copy only by design</w:t>
      </w:r>
    </w:p>
    <w:p>
      <w:pPr>
        <w:spacing w:after="100" w:before="100" w:line="300"/>
      </w:pPr>
      <w:r>
        <w:rPr>
          <w:rFonts w:ascii="Calibri" w:cs="Calibri" w:eastAsia="Calibri" w:hAnsi="Calibri"/>
          <w:sz w:val="22"/>
          <w:szCs w:val="22"/>
        </w:rPr>
        <w:t xml:space="preserve">Databricks artifacts default to views over the underlying data. A physical copy is made only when the contract or the implementation requires it — for example, snapshot stability, query performance, or volatile upstream data.</w:t>
      </w:r>
    </w:p>
    <w:p>
      <w:pPr>
        <w:spacing w:after="100" w:before="100" w:line="300"/>
      </w:pPr>
      <w:r>
        <w:rPr>
          <w:rFonts w:ascii="Calibri" w:cs="Calibri" w:eastAsia="Calibri" w:hAnsi="Calibri"/>
          <w:sz w:val="22"/>
          <w:szCs w:val="22"/>
        </w:rPr>
        <w:t xml:space="preserve">This principle applies across the analytics layer. Every artifact described below — entity views, data products, star schemas — may be implemented as a view or as a physical copy. The choice is an implementation decision driven by the contract and the specific requirements of each artifact, not a property of the artifact type.</w:t>
      </w:r>
    </w:p>
    <w:p>
      <w:pPr>
        <w:pStyle w:val="Heading2"/>
        <w:spacing w:after="160" w:before="280"/>
      </w:pPr>
      <w:r>
        <w:rPr>
          <w:rFonts w:ascii="Calibri" w:cs="Calibri" w:eastAsia="Calibri" w:hAnsi="Calibri"/>
          <w:b/>
          <w:bCs/>
          <w:sz w:val="28"/>
          <w:szCs w:val="28"/>
        </w:rPr>
        <w:t xml:space="preserve">Artifact types</w:t>
      </w:r>
    </w:p>
    <w:p>
      <w:pPr>
        <w:spacing w:after="100" w:before="100"/>
      </w:pPr>
      <w:r>
        <w:rPr>
          <w:rFonts w:ascii="Calibri" w:cs="Calibri" w:eastAsia="Calibri" w:hAnsi="Calibri"/>
          <w:i/>
          <w:iCs/>
          <w:color w:val="888888"/>
          <w:sz w:val="22"/>
          <w:szCs w:val="22"/>
        </w:rPr>
        <w:t xml:space="preserve">[IMAGE: Artifact Types — paste from risk_data_visuals_all.pptx, slide titled "Artifact Types – What you'll encounter in the analytics layer"]</w:t>
      </w:r>
    </w:p>
    <w:p>
      <w:pPr>
        <w:spacing w:after="100" w:before="100" w:line="300"/>
      </w:pPr>
      <w:r>
        <w:rPr>
          <w:rFonts w:ascii="Calibri" w:cs="Calibri" w:eastAsia="Calibri" w:hAnsi="Calibri"/>
          <w:sz w:val="22"/>
          <w:szCs w:val="22"/>
        </w:rPr>
        <w:t xml:space="preserve">Four kinds of objects show up in the analytics layer. They are independent and can be combined: a data product can rest on a domain model, a star schema is one way to shape a data product, and entities sit underneath all of them. The Domain Model row below has three nested levels in the Risk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Object</w:t>
            </w:r>
          </w:p>
        </w:tc>
        <w:tc>
          <w:tcPr>
            <w:tcW w:type="dxa" w:w="61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Description</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Entity</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real-world thing — a counterparty, a trade, an agreement. Attributes describe it. Entities sit at the foundation under all the other objects.</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Domain Model — App data footprint</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data one application has landed and the relationships within it. Modelled within the application's own scope. Sits in the malcode-specific schema.</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Domain Model — Product Group model</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connected model across the applications that sit inside one Product Group. Conformed dimensions and shared definitions across that PG. Sits in riskwh.pg_models.</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Domain Model — Risk Domain Model</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connected model across all four PGs. Risk's contribution to enterprise CDM Domain #5 (Derived Data and Metrics). Sits in riskwh.risk_domain.</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Data Product</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dataset that has been curated and given a contract. Closed shape, stable, ready to consume.</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Star Schema</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common shape for self-service queries — a fact table joined to dimension tables. Open-shape (consumers can write their own queries against it). Rules for safe use are applied separately by the semantic layer.</w:t>
            </w:r>
          </w:p>
        </w:tc>
      </w:tr>
    </w:tbl>
    <w:p>
      <w:pPr>
        <w:pStyle w:val="Heading2"/>
        <w:spacing w:after="160" w:before="280"/>
      </w:pPr>
      <w:r>
        <w:rPr>
          <w:rFonts w:ascii="Calibri" w:cs="Calibri" w:eastAsia="Calibri" w:hAnsi="Calibri"/>
          <w:b/>
          <w:bCs/>
          <w:sz w:val="28"/>
          <w:szCs w:val="28"/>
        </w:rPr>
        <w:t xml:space="preserve">Code and update behaviours</w:t>
      </w:r>
    </w:p>
    <w:p>
      <w:pPr>
        <w:spacing w:after="100" w:before="100"/>
      </w:pPr>
      <w:r>
        <w:rPr>
          <w:rFonts w:ascii="Calibri" w:cs="Calibri" w:eastAsia="Calibri" w:hAnsi="Calibri"/>
          <w:i/>
          <w:iCs/>
          <w:color w:val="888888"/>
          <w:sz w:val="22"/>
          <w:szCs w:val="22"/>
        </w:rPr>
        <w:t xml:space="preserve">[IMAGE: Code &amp; Update Behaviours — paste from risk_data_visuals_all.pptx, slide titled "Code &amp; Update Behaviours – Where code lives · how often data refreshes"]</w:t>
      </w:r>
    </w:p>
    <w:p>
      <w:pPr>
        <w:spacing w:after="100" w:before="100" w:line="300"/>
      </w:pPr>
      <w:r>
        <w:rPr>
          <w:rFonts w:ascii="Calibri" w:cs="Calibri" w:eastAsia="Calibri" w:hAnsi="Calibri"/>
          <w:sz w:val="22"/>
          <w:szCs w:val="22"/>
        </w:rPr>
        <w:t xml:space="preserve">Code for the application side and code for the analytics side live in separate places, owned by different teams and deployed on separate paths.</w:t>
      </w:r>
    </w:p>
    <w:p>
      <w:pPr>
        <w:pStyle w:val="Heading3"/>
        <w:spacing w:after="140" w:before="220"/>
      </w:pPr>
      <w:r>
        <w:rPr>
          <w:rFonts w:ascii="Calibri" w:cs="Calibri" w:eastAsia="Calibri" w:hAnsi="Calibri"/>
          <w:b/>
          <w:bCs/>
          <w:sz w:val="24"/>
          <w:szCs w:val="24"/>
        </w:rPr>
        <w:t xml:space="preserve">Code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3600"/>
        <w:gridCol w:w="2160"/>
      </w:tblGrid>
      <w:tr>
        <w:trPr>
          <w:tblHeader/>
        </w:trPr>
        <w:tc>
          <w:tcPr>
            <w:tcW w:type="dxa" w:w="21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Repo</w:t>
            </w:r>
          </w:p>
        </w:tc>
        <w:tc>
          <w:tcPr>
            <w:tcW w:type="dxa" w:w="144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Owner</w:t>
            </w:r>
          </w:p>
        </w:tc>
        <w:tc>
          <w:tcPr>
            <w:tcW w:type="dxa" w:w="36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Contents</w:t>
            </w:r>
          </w:p>
        </w:tc>
        <w:tc>
          <w:tcPr>
            <w:tcW w:type="dxa" w:w="21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Deploys to</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App-zone (one per app)</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 team</w:t>
            </w:r>
          </w:p>
        </w:tc>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 code, schema DDLs for the malcode-specific schema, app-internal dashboards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 PROD; Databricks malcode-specific schema</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 Warehouse</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w:t>
            </w:r>
          </w:p>
        </w:tc>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Analytics product DDLs, contracts, Unity Catalog tag definitions, semantic layer code, analytics dashboards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Databricks riskwh</w:t>
            </w:r>
          </w:p>
        </w:tc>
      </w:tr>
    </w:tbl>
    <w:p>
      <w:pPr>
        <w:pStyle w:val="Heading3"/>
        <w:spacing w:after="140" w:before="220"/>
      </w:pPr>
      <w:r>
        <w:rPr>
          <w:rFonts w:ascii="Calibri" w:cs="Calibri" w:eastAsia="Calibri" w:hAnsi="Calibri"/>
          <w:b/>
          <w:bCs/>
          <w:sz w:val="24"/>
          <w:szCs w:val="24"/>
        </w:rPr>
        <w:t xml:space="preserve">Update behaviours of analytics-layer objects</w:t>
      </w:r>
    </w:p>
    <w:p>
      <w:pPr>
        <w:spacing w:after="100" w:before="100" w:line="300"/>
      </w:pPr>
      <w:r>
        <w:rPr>
          <w:rFonts w:ascii="Calibri" w:cs="Calibri" w:eastAsia="Calibri" w:hAnsi="Calibri"/>
          <w:sz w:val="22"/>
          <w:szCs w:val="22"/>
        </w:rPr>
        <w:t xml:space="preserve">Each object listed below may be implemented as a view or as a physical copy, in line with the data copy only by design principle. The behaviour described in the table is the consumer-visible behaviour, not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Object</w:t>
            </w:r>
          </w:p>
        </w:tc>
        <w:tc>
          <w:tcPr>
            <w:tcW w:type="dxa" w:w="54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Consumer-visible behaviour</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Entity views (linked to malcode-specific schemas)</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When queried, returns the application's current data.</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 Products (in riskwh)</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Refreshed per the contract (for example, daily by 06:00). Consumers see data as of the last refresh.</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Star Schemas</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May surface a stable snapshot, a current live view, or both — depending on the contract and the consumer's need. The consumer picks which one to use where both are available.</w:t>
            </w:r>
          </w:p>
        </w:tc>
      </w:tr>
    </w:tbl>
    <w:p>
      <w:pPr>
        <w:pStyle w:val="Heading2"/>
        <w:spacing w:after="160" w:before="280"/>
      </w:pPr>
      <w:r>
        <w:rPr>
          <w:rFonts w:ascii="Calibri" w:cs="Calibri" w:eastAsia="Calibri" w:hAnsi="Calibri"/>
          <w:b/>
          <w:bCs/>
          <w:sz w:val="28"/>
          <w:szCs w:val="28"/>
        </w:rPr>
        <w:t xml:space="preserve">360-style products</w:t>
      </w:r>
    </w:p>
    <w:p>
      <w:pPr>
        <w:spacing w:after="100" w:before="100"/>
      </w:pPr>
      <w:r>
        <w:rPr>
          <w:rFonts w:ascii="Calibri" w:cs="Calibri" w:eastAsia="Calibri" w:hAnsi="Calibri"/>
          <w:i/>
          <w:iCs/>
          <w:color w:val="888888"/>
          <w:sz w:val="22"/>
          <w:szCs w:val="22"/>
        </w:rPr>
        <w:t xml:space="preserve">[IMAGE: 360 Layered Architecture — paste from risk_data_visuals_all.pptx, slide titled "360-style Analytics Product – Layered architecture pattern for cross-product views"]</w:t>
      </w:r>
    </w:p>
    <w:p>
      <w:pPr>
        <w:spacing w:after="100" w:before="100" w:line="300"/>
      </w:pPr>
      <w:r>
        <w:rPr>
          <w:rFonts w:ascii="Calibri" w:cs="Calibri" w:eastAsia="Calibri" w:hAnsi="Calibri"/>
          <w:sz w:val="22"/>
          <w:szCs w:val="22"/>
        </w:rPr>
        <w:t xml:space="preserve">A 360 product is a layered set of datasets, not one wide table. Each layer plays a different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w:t>
            </w:r>
          </w:p>
        </w:tc>
        <w:tc>
          <w:tcPr>
            <w:tcW w:type="dxa" w:w="63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Contents</w:t>
            </w:r>
          </w:p>
        </w:tc>
      </w:tr>
      <w:tr>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 1 — Summary</w:t>
            </w:r>
          </w:p>
        </w:tc>
        <w:tc>
          <w:tcPr>
            <w:tcW w:type="dxa" w:w="63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row per entity per date. Pre-summarised headlines. Loads instantly.</w:t>
            </w:r>
          </w:p>
        </w:tc>
      </w:tr>
      <w:tr>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 2 — Atomic drill-downs</w:t>
            </w:r>
          </w:p>
        </w:tc>
        <w:tc>
          <w:tcPr>
            <w:tcW w:type="dxa" w:w="63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Several products at their natural levels of detail (trades, exposure, sensitivities, collateral, stress, limits). Linked by entity key.</w:t>
            </w:r>
          </w:p>
        </w:tc>
      </w:tr>
      <w:tr>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 3 — BI orchestration</w:t>
            </w:r>
          </w:p>
        </w:tc>
        <w:tc>
          <w:tcPr>
            <w:tcW w:type="dxa" w:w="63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summary panel is loaded from Layer 1 and the drill-down tabs are loaded from Layer 2 on demand.</w:t>
            </w:r>
          </w:p>
        </w:tc>
      </w:tr>
    </w:tbl>
    <w:p>
      <w:pPr>
        <w:spacing w:after="100" w:before="100" w:line="300"/>
      </w:pPr>
      <w:r>
        <w:rPr>
          <w:rFonts w:ascii="Calibri" w:cs="Calibri" w:eastAsia="Calibri" w:hAnsi="Calibri"/>
          <w:sz w:val="22"/>
          <w:szCs w:val="22"/>
        </w:rPr>
        <w:t xml:space="preserve">See Worked Example — Counterparty 360 Product for an end-to-end walk-through.</w:t>
      </w:r>
    </w:p>
    <w:p>
      <w:r>
        <w:br w:type="page"/>
      </w:r>
    </w:p>
    <w:p>
      <w:pPr>
        <w:pStyle w:val="Heading1"/>
        <w:spacing w:after="200" w:before="360"/>
      </w:pPr>
      <w:r>
        <w:rPr>
          <w:rFonts w:ascii="Calibri" w:cs="Calibri" w:eastAsia="Calibri" w:hAnsi="Calibri"/>
          <w:b/>
          <w:bCs/>
          <w:sz w:val="36"/>
          <w:szCs w:val="36"/>
        </w:rPr>
        <w:t xml:space="preserve">PAGE: 2. Standards &amp; Artifacts Library</w:t>
      </w:r>
    </w:p>
    <w:p>
      <w:pPr>
        <w:pBdr>
          <w:left w:val="single" w:color="B0B0B0" w:sz="18" w:space="12"/>
        </w:pBdr>
        <w:spacing w:after="200" w:before="80" w:line="300"/>
        <w:ind w:left="200"/>
      </w:pPr>
      <w:r>
        <w:rPr>
          <w:rFonts w:ascii="Calibri" w:cs="Calibri" w:eastAsia="Calibri" w:hAnsi="Calibri"/>
          <w:i/>
          <w:iCs/>
          <w:color w:val="555555"/>
          <w:sz w:val="22"/>
          <w:szCs w:val="22"/>
        </w:rPr>
        <w:t xml:space="preserve">The Architecture &amp; Design page describes the shape of the analytics layer. This page provides the templates and standards used to build it: the form to onboard new data into the analytics layer, the contract template that goes with every data product, the Unity Catalog tag standards, the schema and catalog standard, and the semantic layer template.</w:t>
      </w:r>
    </w:p>
    <w:p>
      <w:pPr>
        <w:spacing w:after="100" w:before="100" w:line="300"/>
      </w:pPr>
      <w:r>
        <w:rPr>
          <w:rFonts w:ascii="Calibri" w:cs="Calibri" w:eastAsia="Calibri" w:hAnsi="Calibri"/>
          <w:sz w:val="22"/>
          <w:szCs w:val="22"/>
        </w:rPr>
        <w:t xml:space="preserve">Templates marked DRAFT v1 will refine in place as teams use them. Comments on this page are the feedback channel.</w:t>
      </w:r>
    </w:p>
    <w:p>
      <w:pPr>
        <w:pStyle w:val="Heading2"/>
        <w:spacing w:after="160" w:before="280"/>
      </w:pPr>
      <w:r>
        <w:rPr>
          <w:rFonts w:ascii="Calibri" w:cs="Calibri" w:eastAsia="Calibri" w:hAnsi="Calibri"/>
          <w:b/>
          <w:bCs/>
          <w:sz w:val="28"/>
          <w:szCs w:val="28"/>
        </w:rPr>
        <w:t xml:space="preserve">A. Data Product Onboarding Form</w:t>
      </w:r>
    </w:p>
    <w:p>
      <w:pPr>
        <w:spacing w:after="100" w:before="100" w:line="300"/>
      </w:pPr>
      <w:r>
        <w:rPr>
          <w:rFonts w:ascii="Calibri" w:cs="Calibri" w:eastAsia="Calibri" w:hAnsi="Calibri"/>
          <w:sz w:val="22"/>
          <w:szCs w:val="22"/>
        </w:rPr>
        <w:t xml:space="preserve">DRAFT v1</w:t>
      </w:r>
    </w:p>
    <w:p>
      <w:pPr>
        <w:spacing w:after="100" w:before="100" w:line="300"/>
      </w:pPr>
      <w:r>
        <w:rPr>
          <w:rFonts w:ascii="Calibri" w:cs="Calibri" w:eastAsia="Calibri" w:hAnsi="Calibri"/>
          <w:sz w:val="22"/>
          <w:szCs w:val="22"/>
        </w:rPr>
        <w:t xml:space="preserve">Used when an App team or Business team brings data into the analytics layer as a contracted data product.</w:t>
      </w:r>
    </w:p>
    <w:p>
      <w:pPr>
        <w:pStyle w:val="Heading3"/>
        <w:spacing w:after="140" w:before="220"/>
      </w:pPr>
      <w:r>
        <w:rPr>
          <w:rFonts w:ascii="Calibri" w:cs="Calibri" w:eastAsia="Calibri" w:hAnsi="Calibri"/>
          <w:b/>
          <w:bCs/>
          <w:sz w:val="24"/>
          <w:szCs w:val="24"/>
        </w:rPr>
        <w:t xml:space="preserve">Section A — Source</w:t>
      </w:r>
    </w:p>
    <w:p>
      <w:pPr>
        <w:pStyle w:val="ListParagraph"/>
        <w:numPr>
          <w:ilvl w:val="0"/>
          <w:numId w:val="2"/>
        </w:numPr>
        <w:spacing w:after="60" w:before="60" w:line="280"/>
      </w:pPr>
      <w:r>
        <w:rPr>
          <w:rFonts w:ascii="Calibri" w:cs="Calibri" w:eastAsia="Calibri" w:hAnsi="Calibri"/>
          <w:sz w:val="22"/>
          <w:szCs w:val="22"/>
        </w:rPr>
        <w:t xml:space="preserve">1. Requesting team (App / Business / PG):</w:t>
      </w:r>
    </w:p>
    <w:p>
      <w:pPr>
        <w:pStyle w:val="ListParagraph"/>
        <w:numPr>
          <w:ilvl w:val="0"/>
          <w:numId w:val="2"/>
        </w:numPr>
        <w:spacing w:after="60" w:before="60" w:line="280"/>
      </w:pPr>
      <w:r>
        <w:rPr>
          <w:rFonts w:ascii="Calibri" w:cs="Calibri" w:eastAsia="Calibri" w:hAnsi="Calibri"/>
          <w:sz w:val="22"/>
          <w:szCs w:val="22"/>
        </w:rPr>
        <w:t xml:space="preserve">2. Source application (XVALA, CMOS, TCC, REGDS, ALFA, business spreadsheet, etc.):</w:t>
      </w:r>
    </w:p>
    <w:p>
      <w:pPr>
        <w:pStyle w:val="ListParagraph"/>
        <w:numPr>
          <w:ilvl w:val="0"/>
          <w:numId w:val="2"/>
        </w:numPr>
        <w:spacing w:after="60" w:before="60" w:line="280"/>
      </w:pPr>
      <w:r>
        <w:rPr>
          <w:rFonts w:ascii="Calibri" w:cs="Calibri" w:eastAsia="Calibri" w:hAnsi="Calibri"/>
          <w:sz w:val="22"/>
          <w:szCs w:val="22"/>
        </w:rPr>
        <w:t xml:space="preserve">3. Source location (malcode-specific schema, file path, Confluence page, upstream system):</w:t>
      </w:r>
    </w:p>
    <w:p>
      <w:pPr>
        <w:pStyle w:val="ListParagraph"/>
        <w:numPr>
          <w:ilvl w:val="0"/>
          <w:numId w:val="2"/>
        </w:numPr>
        <w:spacing w:after="60" w:before="60" w:line="280"/>
      </w:pPr>
      <w:r>
        <w:rPr>
          <w:rFonts w:ascii="Calibri" w:cs="Calibri" w:eastAsia="Calibri" w:hAnsi="Calibri"/>
          <w:sz w:val="22"/>
          <w:szCs w:val="22"/>
        </w:rPr>
        <w:t xml:space="preserve">4. Source data steward (name, contact):</w:t>
      </w:r>
    </w:p>
    <w:p>
      <w:pPr>
        <w:pStyle w:val="ListParagraph"/>
        <w:numPr>
          <w:ilvl w:val="0"/>
          <w:numId w:val="2"/>
        </w:numPr>
        <w:spacing w:after="60" w:before="60" w:line="280"/>
      </w:pPr>
      <w:r>
        <w:rPr>
          <w:rFonts w:ascii="Calibri" w:cs="Calibri" w:eastAsia="Calibri" w:hAnsi="Calibri"/>
          <w:sz w:val="22"/>
          <w:szCs w:val="22"/>
        </w:rPr>
        <w:t xml:space="preserve">5. Current Git repo for source artifacts (URL):</w:t>
      </w:r>
    </w:p>
    <w:p>
      <w:pPr>
        <w:pStyle w:val="ListParagraph"/>
        <w:numPr>
          <w:ilvl w:val="0"/>
          <w:numId w:val="2"/>
        </w:numPr>
        <w:spacing w:after="60" w:before="60" w:line="280"/>
      </w:pPr>
      <w:r>
        <w:rPr>
          <w:rFonts w:ascii="Calibri" w:cs="Calibri" w:eastAsia="Calibri" w:hAnsi="Calibri"/>
          <w:sz w:val="22"/>
          <w:szCs w:val="22"/>
        </w:rPr>
        <w:t xml:space="preserve">6. How is the source data produced today (application calculation, business spreadsheet, regulatory extract, upstream system feed, etc.):</w:t>
      </w:r>
    </w:p>
    <w:p>
      <w:pPr>
        <w:pStyle w:val="Heading3"/>
        <w:spacing w:after="140" w:before="220"/>
      </w:pPr>
      <w:r>
        <w:rPr>
          <w:rFonts w:ascii="Calibri" w:cs="Calibri" w:eastAsia="Calibri" w:hAnsi="Calibri"/>
          <w:b/>
          <w:bCs/>
          <w:sz w:val="24"/>
          <w:szCs w:val="24"/>
        </w:rPr>
        <w:t xml:space="preserve">Section B — Data description</w:t>
      </w:r>
    </w:p>
    <w:p>
      <w:pPr>
        <w:pStyle w:val="ListParagraph"/>
        <w:numPr>
          <w:ilvl w:val="0"/>
          <w:numId w:val="2"/>
        </w:numPr>
        <w:spacing w:after="60" w:before="60" w:line="280"/>
      </w:pPr>
      <w:r>
        <w:rPr>
          <w:rFonts w:ascii="Calibri" w:cs="Calibri" w:eastAsia="Calibri" w:hAnsi="Calibri"/>
          <w:sz w:val="22"/>
          <w:szCs w:val="22"/>
        </w:rPr>
        <w:t xml:space="preserve">7. Data domain (Counterparty risk, Liquidity, Market risk, Funding, etc.):</w:t>
      </w:r>
    </w:p>
    <w:p>
      <w:pPr>
        <w:pStyle w:val="ListParagraph"/>
        <w:numPr>
          <w:ilvl w:val="0"/>
          <w:numId w:val="2"/>
        </w:numPr>
        <w:spacing w:after="60" w:before="60" w:line="280"/>
      </w:pPr>
      <w:r>
        <w:rPr>
          <w:rFonts w:ascii="Calibri" w:cs="Calibri" w:eastAsia="Calibri" w:hAnsi="Calibri"/>
          <w:sz w:val="22"/>
          <w:szCs w:val="22"/>
        </w:rPr>
        <w:t xml:space="preserve">8. Brief description (3–5 sentences — what does this data represent?):</w:t>
      </w:r>
    </w:p>
    <w:p>
      <w:pPr>
        <w:pStyle w:val="ListParagraph"/>
        <w:numPr>
          <w:ilvl w:val="0"/>
          <w:numId w:val="2"/>
        </w:numPr>
        <w:spacing w:after="60" w:before="60" w:line="280"/>
      </w:pPr>
      <w:r>
        <w:rPr>
          <w:rFonts w:ascii="Calibri" w:cs="Calibri" w:eastAsia="Calibri" w:hAnsi="Calibri"/>
          <w:sz w:val="22"/>
          <w:szCs w:val="22"/>
        </w:rPr>
        <w:t xml:space="preserve">9. Native level of detail (e.g. "trade + valuation_date"):</w:t>
      </w:r>
    </w:p>
    <w:p>
      <w:pPr>
        <w:pStyle w:val="ListParagraph"/>
        <w:numPr>
          <w:ilvl w:val="0"/>
          <w:numId w:val="2"/>
        </w:numPr>
        <w:spacing w:after="60" w:before="60" w:line="280"/>
      </w:pPr>
      <w:r>
        <w:rPr>
          <w:rFonts w:ascii="Calibri" w:cs="Calibri" w:eastAsia="Calibri" w:hAnsi="Calibri"/>
          <w:sz w:val="22"/>
          <w:szCs w:val="22"/>
        </w:rPr>
        <w:t xml:space="preserve">10. Approximate volume (rows per refresh):</w:t>
      </w:r>
    </w:p>
    <w:p>
      <w:pPr>
        <w:pStyle w:val="ListParagraph"/>
        <w:numPr>
          <w:ilvl w:val="0"/>
          <w:numId w:val="2"/>
        </w:numPr>
        <w:spacing w:after="60" w:before="60" w:line="280"/>
      </w:pPr>
      <w:r>
        <w:rPr>
          <w:rFonts w:ascii="Calibri" w:cs="Calibri" w:eastAsia="Calibri" w:hAnsi="Calibri"/>
          <w:sz w:val="22"/>
          <w:szCs w:val="22"/>
        </w:rPr>
        <w:t xml:space="preserve">11. Refresh frequency (intraday / daily / weekly / on-demand):</w:t>
      </w:r>
    </w:p>
    <w:p>
      <w:pPr>
        <w:pStyle w:val="ListParagraph"/>
        <w:numPr>
          <w:ilvl w:val="0"/>
          <w:numId w:val="2"/>
        </w:numPr>
        <w:spacing w:after="60" w:before="60" w:line="280"/>
      </w:pPr>
      <w:r>
        <w:rPr>
          <w:rFonts w:ascii="Calibri" w:cs="Calibri" w:eastAsia="Calibri" w:hAnsi="Calibri"/>
          <w:sz w:val="22"/>
          <w:szCs w:val="22"/>
        </w:rPr>
        <w:t xml:space="preserve">12. Source-of-truth claim: ☐ Yes  ☐ No</w:t>
      </w:r>
    </w:p>
    <w:p>
      <w:pPr>
        <w:pStyle w:val="Heading3"/>
        <w:spacing w:after="140" w:before="220"/>
      </w:pPr>
      <w:r>
        <w:rPr>
          <w:rFonts w:ascii="Calibri" w:cs="Calibri" w:eastAsia="Calibri" w:hAnsi="Calibri"/>
          <w:b/>
          <w:bCs/>
          <w:sz w:val="24"/>
          <w:szCs w:val="24"/>
        </w:rPr>
        <w:t xml:space="preserve">Section C — Schema and metadata</w:t>
      </w:r>
    </w:p>
    <w:p>
      <w:pPr>
        <w:pStyle w:val="ListParagraph"/>
        <w:numPr>
          <w:ilvl w:val="0"/>
          <w:numId w:val="2"/>
        </w:numPr>
        <w:spacing w:after="60" w:before="60" w:line="280"/>
      </w:pPr>
      <w:r>
        <w:rPr>
          <w:rFonts w:ascii="Calibri" w:cs="Calibri" w:eastAsia="Calibri" w:hAnsi="Calibri"/>
          <w:sz w:val="22"/>
          <w:szCs w:val="22"/>
        </w:rPr>
        <w:t xml:space="preserve">13. Schema or column list available (Y / N — attach if available):</w:t>
      </w:r>
    </w:p>
    <w:p>
      <w:pPr>
        <w:pStyle w:val="ListParagraph"/>
        <w:numPr>
          <w:ilvl w:val="0"/>
          <w:numId w:val="2"/>
        </w:numPr>
        <w:spacing w:after="60" w:before="60" w:line="280"/>
      </w:pPr>
      <w:r>
        <w:rPr>
          <w:rFonts w:ascii="Calibri" w:cs="Calibri" w:eastAsia="Calibri" w:hAnsi="Calibri"/>
          <w:sz w:val="22"/>
          <w:szCs w:val="22"/>
        </w:rPr>
        <w:t xml:space="preserve">14. Primary keys / business keys identified (Y / N):</w:t>
      </w:r>
    </w:p>
    <w:p>
      <w:pPr>
        <w:pStyle w:val="ListParagraph"/>
        <w:numPr>
          <w:ilvl w:val="0"/>
          <w:numId w:val="2"/>
        </w:numPr>
        <w:spacing w:after="60" w:before="60" w:line="280"/>
      </w:pPr>
      <w:r>
        <w:rPr>
          <w:rFonts w:ascii="Calibri" w:cs="Calibri" w:eastAsia="Calibri" w:hAnsi="Calibri"/>
          <w:sz w:val="22"/>
          <w:szCs w:val="22"/>
        </w:rPr>
        <w:t xml:space="preserve">15. Foreign keys to other domains identified (Y / N — list them):</w:t>
      </w:r>
    </w:p>
    <w:p>
      <w:pPr>
        <w:pStyle w:val="ListParagraph"/>
        <w:numPr>
          <w:ilvl w:val="0"/>
          <w:numId w:val="2"/>
        </w:numPr>
        <w:spacing w:after="60" w:before="60" w:line="280"/>
      </w:pPr>
      <w:r>
        <w:rPr>
          <w:rFonts w:ascii="Calibri" w:cs="Calibri" w:eastAsia="Calibri" w:hAnsi="Calibri"/>
          <w:sz w:val="22"/>
          <w:szCs w:val="22"/>
        </w:rPr>
        <w:t xml:space="preserve">16. Column-level descriptions provided for every column (Y / N):</w:t>
      </w:r>
    </w:p>
    <w:p>
      <w:pPr>
        <w:pStyle w:val="ListParagraph"/>
        <w:numPr>
          <w:ilvl w:val="0"/>
          <w:numId w:val="2"/>
        </w:numPr>
        <w:spacing w:after="60" w:before="60" w:line="280"/>
      </w:pPr>
      <w:r>
        <w:rPr>
          <w:rFonts w:ascii="Calibri" w:cs="Calibri" w:eastAsia="Calibri" w:hAnsi="Calibri"/>
          <w:sz w:val="22"/>
          <w:szCs w:val="22"/>
        </w:rPr>
        <w:t xml:space="preserve">17. Sensitive data classification done (PII / MNPI / restricted) (Y / N):</w:t>
      </w:r>
    </w:p>
    <w:p>
      <w:pPr>
        <w:pStyle w:val="ListParagraph"/>
        <w:numPr>
          <w:ilvl w:val="0"/>
          <w:numId w:val="2"/>
        </w:numPr>
        <w:spacing w:after="60" w:before="60" w:line="280"/>
      </w:pPr>
      <w:r>
        <w:rPr>
          <w:rFonts w:ascii="Calibri" w:cs="Calibri" w:eastAsia="Calibri" w:hAnsi="Calibri"/>
          <w:sz w:val="22"/>
          <w:szCs w:val="22"/>
        </w:rPr>
        <w:t xml:space="preserve">18. Existing Unity Catalog tags on the source data (Y / N — list them):</w:t>
      </w:r>
    </w:p>
    <w:p>
      <w:pPr>
        <w:pStyle w:val="Heading3"/>
        <w:spacing w:after="140" w:before="220"/>
      </w:pPr>
      <w:r>
        <w:rPr>
          <w:rFonts w:ascii="Calibri" w:cs="Calibri" w:eastAsia="Calibri" w:hAnsi="Calibri"/>
          <w:b/>
          <w:bCs/>
          <w:sz w:val="24"/>
          <w:szCs w:val="24"/>
        </w:rPr>
        <w:t xml:space="preserve">Section D — Consumer and contract</w:t>
      </w:r>
    </w:p>
    <w:p>
      <w:pPr>
        <w:pStyle w:val="ListParagraph"/>
        <w:numPr>
          <w:ilvl w:val="0"/>
          <w:numId w:val="2"/>
        </w:numPr>
        <w:spacing w:after="60" w:before="60" w:line="280"/>
      </w:pPr>
      <w:r>
        <w:rPr>
          <w:rFonts w:ascii="Calibri" w:cs="Calibri" w:eastAsia="Calibri" w:hAnsi="Calibri"/>
          <w:sz w:val="22"/>
          <w:szCs w:val="22"/>
        </w:rPr>
        <w:t xml:space="preserve">19. Initial consumer(s):</w:t>
      </w:r>
    </w:p>
    <w:p>
      <w:pPr>
        <w:pStyle w:val="ListParagraph"/>
        <w:numPr>
          <w:ilvl w:val="0"/>
          <w:numId w:val="2"/>
        </w:numPr>
        <w:spacing w:after="60" w:before="60" w:line="280"/>
      </w:pPr>
      <w:r>
        <w:rPr>
          <w:rFonts w:ascii="Calibri" w:cs="Calibri" w:eastAsia="Calibri" w:hAnsi="Calibri"/>
          <w:sz w:val="22"/>
          <w:szCs w:val="22"/>
        </w:rPr>
        <w:t xml:space="preserve">20. Consumer-facing level of detail required:</w:t>
      </w:r>
    </w:p>
    <w:p>
      <w:pPr>
        <w:pStyle w:val="ListParagraph"/>
        <w:numPr>
          <w:ilvl w:val="0"/>
          <w:numId w:val="2"/>
        </w:numPr>
        <w:spacing w:after="60" w:before="60" w:line="280"/>
      </w:pPr>
      <w:r>
        <w:rPr>
          <w:rFonts w:ascii="Calibri" w:cs="Calibri" w:eastAsia="Calibri" w:hAnsi="Calibri"/>
          <w:sz w:val="22"/>
          <w:szCs w:val="22"/>
        </w:rPr>
        <w:t xml:space="preserve">21. Aggregation behaviour for each measure (additive / non-additive / percentile):</w:t>
      </w:r>
    </w:p>
    <w:p>
      <w:pPr>
        <w:pStyle w:val="ListParagraph"/>
        <w:numPr>
          <w:ilvl w:val="0"/>
          <w:numId w:val="2"/>
        </w:numPr>
        <w:spacing w:after="60" w:before="60" w:line="280"/>
      </w:pPr>
      <w:r>
        <w:rPr>
          <w:rFonts w:ascii="Calibri" w:cs="Calibri" w:eastAsia="Calibri" w:hAnsi="Calibri"/>
          <w:sz w:val="22"/>
          <w:szCs w:val="22"/>
        </w:rPr>
        <w:t xml:space="preserve">22. Allowed dimensions for slicing:</w:t>
      </w:r>
    </w:p>
    <w:p>
      <w:pPr>
        <w:pStyle w:val="ListParagraph"/>
        <w:numPr>
          <w:ilvl w:val="0"/>
          <w:numId w:val="2"/>
        </w:numPr>
        <w:spacing w:after="60" w:before="60" w:line="280"/>
      </w:pPr>
      <w:r>
        <w:rPr>
          <w:rFonts w:ascii="Calibri" w:cs="Calibri" w:eastAsia="Calibri" w:hAnsi="Calibri"/>
          <w:sz w:val="22"/>
          <w:szCs w:val="22"/>
        </w:rPr>
        <w:t xml:space="preserve">23. Blocked dimensions:</w:t>
      </w:r>
    </w:p>
    <w:p>
      <w:pPr>
        <w:pStyle w:val="ListParagraph"/>
        <w:numPr>
          <w:ilvl w:val="0"/>
          <w:numId w:val="2"/>
        </w:numPr>
        <w:spacing w:after="60" w:before="60" w:line="280"/>
      </w:pPr>
      <w:r>
        <w:rPr>
          <w:rFonts w:ascii="Calibri" w:cs="Calibri" w:eastAsia="Calibri" w:hAnsi="Calibri"/>
          <w:sz w:val="22"/>
          <w:szCs w:val="22"/>
        </w:rPr>
        <w:t xml:space="preserve">24. SLA required:</w:t>
      </w:r>
    </w:p>
    <w:p>
      <w:pPr>
        <w:pStyle w:val="ListParagraph"/>
        <w:numPr>
          <w:ilvl w:val="0"/>
          <w:numId w:val="2"/>
        </w:numPr>
        <w:spacing w:after="60" w:before="60" w:line="280"/>
      </w:pPr>
      <w:r>
        <w:rPr>
          <w:rFonts w:ascii="Calibri" w:cs="Calibri" w:eastAsia="Calibri" w:hAnsi="Calibri"/>
          <w:sz w:val="22"/>
          <w:szCs w:val="22"/>
        </w:rPr>
        <w:t xml:space="preserve">25. Breaking-change policy preferred:</w:t>
      </w:r>
    </w:p>
    <w:p>
      <w:pPr>
        <w:pStyle w:val="Heading3"/>
        <w:spacing w:after="140" w:before="220"/>
      </w:pPr>
      <w:r>
        <w:rPr>
          <w:rFonts w:ascii="Calibri" w:cs="Calibri" w:eastAsia="Calibri" w:hAnsi="Calibri"/>
          <w:b/>
          <w:bCs/>
          <w:sz w:val="24"/>
          <w:szCs w:val="24"/>
        </w:rPr>
        <w:t xml:space="preserve">Workflow</w:t>
      </w:r>
    </w:p>
    <w:p>
      <w:pPr>
        <w:pStyle w:val="ListParagraph"/>
        <w:numPr>
          <w:ilvl w:val="0"/>
          <w:numId w:val="2"/>
        </w:numPr>
        <w:spacing w:after="60" w:before="60" w:line="280"/>
      </w:pPr>
      <w:r>
        <w:rPr>
          <w:rFonts w:ascii="Calibri" w:cs="Calibri" w:eastAsia="Calibri" w:hAnsi="Calibri"/>
          <w:sz w:val="22"/>
          <w:szCs w:val="22"/>
        </w:rPr>
        <w:t xml:space="preserve">Requesting team fills in Sections A–D</w:t>
      </w:r>
    </w:p>
    <w:p>
      <w:pPr>
        <w:pStyle w:val="ListParagraph"/>
        <w:numPr>
          <w:ilvl w:val="0"/>
          <w:numId w:val="2"/>
        </w:numPr>
        <w:spacing w:after="60" w:before="60" w:line="280"/>
      </w:pPr>
      <w:r>
        <w:rPr>
          <w:rFonts w:ascii="Calibri" w:cs="Calibri" w:eastAsia="Calibri" w:hAnsi="Calibri"/>
          <w:sz w:val="22"/>
          <w:szCs w:val="22"/>
        </w:rPr>
        <w:t xml:space="preserve">Submit via comment on this page or directly to Risk Data</w:t>
      </w:r>
    </w:p>
    <w:p>
      <w:pPr>
        <w:pStyle w:val="ListParagraph"/>
        <w:numPr>
          <w:ilvl w:val="0"/>
          <w:numId w:val="2"/>
        </w:numPr>
        <w:spacing w:after="60" w:before="60" w:line="280"/>
      </w:pPr>
      <w:r>
        <w:rPr>
          <w:rFonts w:ascii="Calibri" w:cs="Calibri" w:eastAsia="Calibri" w:hAnsi="Calibri"/>
          <w:sz w:val="22"/>
          <w:szCs w:val="22"/>
        </w:rPr>
        <w:t xml:space="preserve">Reviewed within 5 working days</w:t>
      </w:r>
    </w:p>
    <w:p>
      <w:pPr>
        <w:pStyle w:val="ListParagraph"/>
        <w:numPr>
          <w:ilvl w:val="0"/>
          <w:numId w:val="2"/>
        </w:numPr>
        <w:spacing w:after="60" w:before="60" w:line="280"/>
      </w:pPr>
      <w:r>
        <w:rPr>
          <w:rFonts w:ascii="Calibri" w:cs="Calibri" w:eastAsia="Calibri" w:hAnsi="Calibri"/>
          <w:sz w:val="22"/>
          <w:szCs w:val="22"/>
        </w:rPr>
        <w:t xml:space="preserve">Once approved, the data contract is authored</w:t>
      </w:r>
    </w:p>
    <w:p>
      <w:pPr>
        <w:pStyle w:val="ListParagraph"/>
        <w:numPr>
          <w:ilvl w:val="0"/>
          <w:numId w:val="2"/>
        </w:numPr>
        <w:spacing w:after="60" w:before="60" w:line="280"/>
      </w:pPr>
      <w:r>
        <w:rPr>
          <w:rFonts w:ascii="Calibri" w:cs="Calibri" w:eastAsia="Calibri" w:hAnsi="Calibri"/>
          <w:sz w:val="22"/>
          <w:szCs w:val="22"/>
        </w:rPr>
        <w:t xml:space="preserve">Product is registered in the Data Product Catalog (see Governance &amp; Cadence)</w:t>
      </w:r>
    </w:p>
    <w:p>
      <w:pPr>
        <w:pStyle w:val="Heading2"/>
        <w:spacing w:after="160" w:before="280"/>
      </w:pPr>
      <w:r>
        <w:rPr>
          <w:rFonts w:ascii="Calibri" w:cs="Calibri" w:eastAsia="Calibri" w:hAnsi="Calibri"/>
          <w:b/>
          <w:bCs/>
          <w:sz w:val="28"/>
          <w:szCs w:val="28"/>
        </w:rPr>
        <w:t xml:space="preserve">B. Data Contract Template</w:t>
      </w:r>
    </w:p>
    <w:p>
      <w:pPr>
        <w:spacing w:after="100" w:before="100" w:line="300"/>
      </w:pPr>
      <w:r>
        <w:rPr>
          <w:rFonts w:ascii="Calibri" w:cs="Calibri" w:eastAsia="Calibri" w:hAnsi="Calibri"/>
          <w:sz w:val="22"/>
          <w:szCs w:val="22"/>
        </w:rPr>
        <w:t xml:space="preserve">DRAFT v1</w:t>
      </w:r>
    </w:p>
    <w:p>
      <w:pPr>
        <w:spacing w:after="100" w:before="100" w:line="300"/>
      </w:pPr>
      <w:r>
        <w:rPr>
          <w:rFonts w:ascii="Calibri" w:cs="Calibri" w:eastAsia="Calibri" w:hAnsi="Calibri"/>
          <w:sz w:val="22"/>
          <w:szCs w:val="22"/>
        </w:rPr>
        <w:t xml:space="preserve">Every analytics data product has a contract. The contract is machine-readable (YAML, in the Risk Warehouse Git repo) and is the source of truth for what the data means and how it can be used.</w:t>
      </w:r>
    </w:p>
    <w:p>
      <w:pPr>
        <w:shd w:fill="F7F7F7" w:color="auto" w:val="clear"/>
        <w:spacing w:after="100" w:before="100" w:line="260"/>
        <w:ind w:left="200"/>
      </w:pPr>
      <w:r>
        <w:rPr>
          <w:rFonts w:ascii="Consolas" w:cs="Consolas" w:eastAsia="Consolas" w:hAnsi="Consolas"/>
          <w:sz w:val="18"/>
          <w:szCs w:val="18"/>
        </w:rPr>
        <w:t xml:space="preserve"># Lives in: risk-warehouse/contracts/&lt;domain&gt;/&lt;product_name&gt;.yaml
product:
  name: &lt;product_name&gt;
  display_name: &lt;human-friendly&gt;
  domain: &lt;domain&gt;
  type: &lt;atomic_primary | curated | reporting&gt;
  business_owner: &lt;PG Leader name&gt;
  technical_owner: &lt;team&gt;
  steward: &lt;person&gt;
  contract_version: &lt;semver&gt;
  last_changed: &lt;YYYY-MM-DD&gt;
  collibra_ref: &lt;id&gt;
description: |
  &lt;3-5 sentence business description&gt;
grain:
  level: &lt;e.g. "counterparty + netting_set + time_bucket + scenario + valuation_date"&gt;
  granularity_note: |
    &lt;what one row means&gt;
dimensions:
  allowed: [counterparty, netting_set, bucket, scenario, valuation_date]
  blocked: [product, trade]
measures:
  - name: ee
    description: Expected Exposure
    aggregation: additive          # safely sums across all dimensions
    unit: USD
  - name: pfe
    description: Potential Future Exposure (97.5th percentile)
    aggregation: non_additive_percentile
    safe_combinations: [time_bucket]
    unsafe_combinations: [counterparty, netting_set]
    unit: USD
quality:
  constraints:
    - { name: pfe_non_negative, check: pfe &gt;= 0 }
    - { name: ee_le_pfe, check: ee &lt;= pfe }
  tests:
    - { name: row_count_within_band, schedule: daily, threshold: "+/-5% vs prior business day" }
sla:
  refresh: daily_by_06:00_EST
  freshness_alert: 07:00_EST
  contact_on_breach: &lt;pager&gt;
change_policy:
  breaking_change_notice: 60_days
  additive_change_notice: 14_days
  deprecation_notice: 90_days
  notification_channel: &lt;Confluence page or distribution list&gt;
lineage:
  upstream:
    - { source: creditrisk.xvala.exposure_raw, transformation: aggregate_to_netting_set }
    - { source: creditrisk.cmos.collateral, transformation: join_for_net_exposure }
  downstream: [cp_risk_summary]
git:
  repo: risk-warehouse
  path: products/counterparty_risk/exposure/</w:t>
      </w:r>
    </w:p>
    <w:p>
      <w:pPr>
        <w:pStyle w:val="Heading3"/>
        <w:spacing w:after="140" w:before="220"/>
      </w:pPr>
      <w:r>
        <w:rPr>
          <w:rFonts w:ascii="Calibri" w:cs="Calibri" w:eastAsia="Calibri" w:hAnsi="Calibri"/>
          <w:b/>
          <w:bCs/>
          <w:sz w:val="24"/>
          <w:szCs w:val="24"/>
        </w:rPr>
        <w:t xml:space="preserve">Change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Type</w:t>
            </w:r>
          </w:p>
        </w:tc>
        <w:tc>
          <w:tcPr>
            <w:tcW w:type="dxa" w:w="46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Notice</w:t>
            </w:r>
          </w:p>
        </w:tc>
      </w:tr>
      <w:tr>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Additive (new column, new tag)</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14 days, via Confluence change log</w:t>
            </w:r>
          </w:p>
        </w:tc>
      </w:tr>
      <w:tr>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Breaking (level-of-detail change, removed column, redefinition)</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60 days; consumers acknowledge via comment</w:t>
            </w:r>
          </w:p>
        </w:tc>
      </w:tr>
      <w:tr>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Deprecation</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90 days; replacement product identified</w:t>
            </w:r>
          </w:p>
        </w:tc>
      </w:tr>
    </w:tbl>
    <w:p>
      <w:pPr>
        <w:pStyle w:val="Heading2"/>
        <w:spacing w:after="160" w:before="280"/>
      </w:pPr>
      <w:r>
        <w:rPr>
          <w:rFonts w:ascii="Calibri" w:cs="Calibri" w:eastAsia="Calibri" w:hAnsi="Calibri"/>
          <w:b/>
          <w:bCs/>
          <w:sz w:val="28"/>
          <w:szCs w:val="28"/>
        </w:rPr>
        <w:t xml:space="preserve">C. Unity Catalog Tag Standards</w:t>
      </w:r>
    </w:p>
    <w:p>
      <w:pPr>
        <w:spacing w:after="100" w:before="100" w:line="300"/>
      </w:pPr>
      <w:r>
        <w:rPr>
          <w:rFonts w:ascii="Calibri" w:cs="Calibri" w:eastAsia="Calibri" w:hAnsi="Calibri"/>
          <w:sz w:val="22"/>
          <w:szCs w:val="22"/>
        </w:rPr>
        <w:t xml:space="preserve">DRAFT v1</w:t>
      </w:r>
    </w:p>
    <w:p>
      <w:pPr>
        <w:spacing w:after="100" w:before="100" w:line="300"/>
      </w:pPr>
      <w:r>
        <w:rPr>
          <w:rFonts w:ascii="Calibri" w:cs="Calibri" w:eastAsia="Calibri" w:hAnsi="Calibri"/>
          <w:sz w:val="22"/>
          <w:szCs w:val="22"/>
        </w:rPr>
        <w:t xml:space="preserve">Tags carry the contract's rules in the technical catalog. Different tags apply at different zones.</w:t>
      </w:r>
    </w:p>
    <w:p>
      <w:pPr>
        <w:pStyle w:val="Heading3"/>
        <w:spacing w:after="140" w:before="220"/>
      </w:pPr>
      <w:r>
        <w:rPr>
          <w:rFonts w:ascii="Calibri" w:cs="Calibri" w:eastAsia="Calibri" w:hAnsi="Calibri"/>
          <w:b/>
          <w:bCs/>
          <w:sz w:val="24"/>
          <w:szCs w:val="24"/>
        </w:rPr>
        <w:t xml:space="preserve">Raw-zone tags</w:t>
      </w:r>
    </w:p>
    <w:p>
      <w:pPr>
        <w:spacing w:after="100" w:before="100" w:line="300"/>
      </w:pPr>
      <w:r>
        <w:rPr>
          <w:rFonts w:ascii="Calibri" w:cs="Calibri" w:eastAsia="Calibri" w:hAnsi="Calibri"/>
          <w:sz w:val="22"/>
          <w:szCs w:val="22"/>
        </w:rPr>
        <w:t xml:space="preserve">Applied to data each application lands into its malcode-specific schema. Authored by Risk Data with input from the App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Tag</w:t>
            </w:r>
          </w:p>
        </w:tc>
        <w:tc>
          <w:tcPr>
            <w:tcW w:type="dxa" w:w="57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Allowed values</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data_zone</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raw</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source_app</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xvala, cmos, regds, tcc, alfa, etc.</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source_system_owner</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team name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data_classification</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public, internal, confidential, restricted, mnpi</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pii_present</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true, false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refresh_frequency</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intraday, daily, weekly, monthly, on_demand</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landing_pattern</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cdc, full_load, streaming, file_drop</w:t>
            </w:r>
          </w:p>
        </w:tc>
      </w:tr>
    </w:tbl>
    <w:p>
      <w:pPr>
        <w:pStyle w:val="Heading3"/>
        <w:spacing w:after="140" w:before="220"/>
      </w:pPr>
      <w:r>
        <w:rPr>
          <w:rFonts w:ascii="Calibri" w:cs="Calibri" w:eastAsia="Calibri" w:hAnsi="Calibri"/>
          <w:b/>
          <w:bCs/>
          <w:sz w:val="24"/>
          <w:szCs w:val="24"/>
        </w:rPr>
        <w:t xml:space="preserve">Analytics-zone tags</w:t>
      </w:r>
    </w:p>
    <w:p>
      <w:pPr>
        <w:spacing w:after="100" w:before="100" w:line="300"/>
      </w:pPr>
      <w:r>
        <w:rPr>
          <w:rFonts w:ascii="Calibri" w:cs="Calibri" w:eastAsia="Calibri" w:hAnsi="Calibri"/>
          <w:sz w:val="22"/>
          <w:szCs w:val="22"/>
        </w:rPr>
        <w:t xml:space="preserve">Applied to tables in riskwh. Authored by Risk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Tag</w:t>
            </w:r>
          </w:p>
        </w:tc>
        <w:tc>
          <w:tcPr>
            <w:tcW w:type="dxa" w:w="57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Allowed values</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data_zone</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analytics</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data_product</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true, false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product_name</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string</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product_type</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atomic_primary, curated, reporting</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contract_version</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semver</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business_owner</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 name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technical_owner</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team name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grain</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composite key string</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allowed_dims</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comma-separated</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blocked_dims</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comma-separated</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aggregation_&lt;measure&gt;</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rule per measure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refresh_sla</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string</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change_policy</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string</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collibra_ref</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id</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stage</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4_governed, 5_semantic, 6_analytics</w:t>
            </w:r>
          </w:p>
        </w:tc>
      </w:tr>
    </w:tbl>
    <w:p>
      <w:pPr>
        <w:pStyle w:val="Heading3"/>
        <w:spacing w:after="140" w:before="220"/>
      </w:pPr>
      <w:r>
        <w:rPr>
          <w:rFonts w:ascii="Calibri" w:cs="Calibri" w:eastAsia="Calibri" w:hAnsi="Calibri"/>
          <w:b/>
          <w:bCs/>
          <w:sz w:val="24"/>
          <w:szCs w:val="24"/>
        </w:rPr>
        <w:t xml:space="preserve">Worked example — Exposure product</w:t>
      </w:r>
    </w:p>
    <w:p>
      <w:pPr>
        <w:shd w:fill="F7F7F7" w:color="auto" w:val="clear"/>
        <w:spacing w:after="100" w:before="100" w:line="260"/>
        <w:ind w:left="200"/>
      </w:pPr>
      <w:r>
        <w:rPr>
          <w:rFonts w:ascii="Consolas" w:cs="Consolas" w:eastAsia="Consolas" w:hAnsi="Consolas"/>
          <w:sz w:val="18"/>
          <w:szCs w:val="18"/>
        </w:rPr>
        <w:t xml:space="preserve">ALTER TABLE riskwh.gold.fact_exposure SET TAGS (
  'data_zone'        = 'analytics',
  'data_product'     = 'true',
  'product_name'     = 'CCR Exposure',
  'product_type'     = 'atomic_primary',
  'contract_version' = '1.2.0',
  'business_owner'   = 'pg_credit_risk',
  'technical_owner'  = 'risk_data_platform',
  'grain'            = 'cp+netting_set+bucket+scn+date',
  'allowed_dims'     = 'cp,netting_set,bucket,scn,date',
  'blocked_dims'     = 'product,trade',
  'aggregation_pfe'  = 'non_additive_percentile',
  'aggregation_ee'   = 'additive',
  'refresh_sla'      = 'daily_by_06:00_EST',
  'change_policy'    = 'breaking_60d_additive_14d',
  'collibra_ref'     = 'CCR-EXP-001',
  'stage'            = '4_governed'
);
COMMENT ON TABLE riskwh.gold.fact_exposure IS
  'CCR exposure metrics at counterparty + netting set + time bucket + scenario.
   Atomic primary product. PFE is non-additive; see contract for aggregation rules.';
-- Quality rules (e.g. pfe &gt;= 0, ee &lt;= pfe) are declared in the contract YAML
-- and enforced by the semantic layer, not by DDL constraints. Databricks SQL
-- does not support CHECK / FK / DEFAULT constraints at the table level.</w:t>
      </w:r>
    </w:p>
    <w:p>
      <w:pPr>
        <w:pStyle w:val="Heading2"/>
        <w:spacing w:after="160" w:before="280"/>
      </w:pPr>
      <w:r>
        <w:rPr>
          <w:rFonts w:ascii="Calibri" w:cs="Calibri" w:eastAsia="Calibri" w:hAnsi="Calibri"/>
          <w:b/>
          <w:bCs/>
          <w:sz w:val="28"/>
          <w:szCs w:val="28"/>
        </w:rPr>
        <w:t xml:space="preserve">D. Schema and Catalog Design Standard</w:t>
      </w:r>
    </w:p>
    <w:p>
      <w:pPr>
        <w:spacing w:after="100" w:before="100" w:line="300"/>
      </w:pPr>
      <w:r>
        <w:rPr>
          <w:rFonts w:ascii="Calibri" w:cs="Calibri" w:eastAsia="Calibri" w:hAnsi="Calibri"/>
          <w:sz w:val="22"/>
          <w:szCs w:val="22"/>
        </w:rPr>
        <w:t xml:space="preserve">DRAFT v1</w:t>
      </w:r>
    </w:p>
    <w:p>
      <w:pPr>
        <w:pStyle w:val="Heading3"/>
        <w:spacing w:after="140" w:before="220"/>
      </w:pPr>
      <w:r>
        <w:rPr>
          <w:rFonts w:ascii="Calibri" w:cs="Calibri" w:eastAsia="Calibri" w:hAnsi="Calibri"/>
          <w:b/>
          <w:bCs/>
          <w:sz w:val="24"/>
          <w:szCs w:val="24"/>
        </w:rPr>
        <w:t xml:space="preserve">Catalog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1800"/>
        <w:gridCol w:w="1800"/>
      </w:tblGrid>
      <w:tr>
        <w:trPr>
          <w:tblHeader/>
        </w:trPr>
        <w:tc>
          <w:tcPr>
            <w:tcW w:type="dxa" w:w="25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Catalog</w:t>
            </w:r>
          </w:p>
        </w:tc>
        <w:tc>
          <w:tcPr>
            <w:tcW w:type="dxa" w:w="324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Purpose</w:t>
            </w:r>
          </w:p>
        </w:tc>
        <w:tc>
          <w:tcPr>
            <w:tcW w:type="dxa" w:w="18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Owner</w:t>
            </w:r>
          </w:p>
        </w:tc>
        <w:tc>
          <w:tcPr>
            <w:tcW w:type="dxa" w:w="18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Consumer access</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creditrisk, marketrisk, liquidity, finance</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catalog per Product Group. Each contains one schema per app — the malcode-specific schema. App-generated data lands here.</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 (catalog), App team (data within their malcode-specific schema)</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Internal app and PG use</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riskwh</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Risk warehouse. Contains the Product Group models, the Risk Domain Model, curated data products, the semantic layer, the sandbox.</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Single point of consumption for analytics</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risk_governance</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Governance metadata — contract registry, lineage, tag reference.</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Read-only for App teams, PG Leaders, central teams</w:t>
            </w:r>
          </w:p>
        </w:tc>
      </w:tr>
    </w:tbl>
    <w:p>
      <w:pPr>
        <w:pStyle w:val="Heading3"/>
        <w:spacing w:after="140" w:before="220"/>
      </w:pPr>
      <w:r>
        <w:rPr>
          <w:rFonts w:ascii="Calibri" w:cs="Calibri" w:eastAsia="Calibri" w:hAnsi="Calibri"/>
          <w:b/>
          <w:bCs/>
          <w:sz w:val="24"/>
          <w:szCs w:val="24"/>
        </w:rPr>
        <w:t xml:space="preserve">Schema naming within Product Group catalogs</w:t>
      </w:r>
    </w:p>
    <w:p>
      <w:pPr>
        <w:shd w:fill="F7F7F7" w:color="auto" w:val="clear"/>
        <w:spacing w:after="100" w:before="100" w:line="260"/>
        <w:ind w:left="200"/>
      </w:pPr>
      <w:r>
        <w:rPr>
          <w:rFonts w:ascii="Consolas" w:cs="Consolas" w:eastAsia="Consolas" w:hAnsi="Consolas"/>
          <w:sz w:val="18"/>
          <w:szCs w:val="18"/>
        </w:rPr>
        <w:t xml:space="preserve">&lt;pg_catalog&gt;.&lt;malcode&gt;            -- malcode-specific schema (one per app)
&lt;pg_catalog&gt;.&lt;malcode&gt;_archive    -- archival
&lt;pg_catalog&gt;.&lt;malcode&gt;_quarantine -- DQ-failed records
Examples: creditrisk.xvala, creditrisk.cmos, creditrisk.tcc, liquidity.alfa</w:t>
      </w:r>
    </w:p>
    <w:p>
      <w:pPr>
        <w:pStyle w:val="Heading3"/>
        <w:spacing w:after="140" w:before="220"/>
      </w:pPr>
      <w:r>
        <w:rPr>
          <w:rFonts w:ascii="Calibri" w:cs="Calibri" w:eastAsia="Calibri" w:hAnsi="Calibri"/>
          <w:b/>
          <w:bCs/>
          <w:sz w:val="24"/>
          <w:szCs w:val="24"/>
        </w:rPr>
        <w:t xml:space="preserve">Schema naming within riskwh</w:t>
      </w:r>
    </w:p>
    <w:p>
      <w:pPr>
        <w:spacing w:after="100" w:before="100" w:line="300"/>
      </w:pPr>
      <w:r>
        <w:rPr>
          <w:rFonts w:ascii="Calibri" w:cs="Calibri" w:eastAsia="Calibri" w:hAnsi="Calibri"/>
          <w:sz w:val="22"/>
          <w:szCs w:val="22"/>
        </w:rPr>
        <w:t xml:space="preserve">Schemas inside riskwh mirror the resolution path described on Architecture &amp; Design.</w:t>
      </w:r>
    </w:p>
    <w:p>
      <w:pPr>
        <w:shd w:fill="F7F7F7" w:color="auto" w:val="clear"/>
        <w:spacing w:after="100" w:before="100" w:line="260"/>
        <w:ind w:left="200"/>
      </w:pPr>
      <w:r>
        <w:rPr>
          <w:rFonts w:ascii="Consolas" w:cs="Consolas" w:eastAsia="Consolas" w:hAnsi="Consolas"/>
          <w:sz w:val="18"/>
          <w:szCs w:val="18"/>
        </w:rPr>
        <w:t xml:space="preserve">riskwh.app_views    -- views over malcode-specific schemas (one per app)
riskwh.pg_models    -- Product Group level conformed models (creditrisk, marketrisk, etc.)
riskwh.risk_domain  -- the Risk Domain Model (composed of PG models)
riskwh.gold         -- curated data products (views or physical, per contract)
riskwh.semantic     -- semantic layer definitions (dbt / Metric Views)
riskwh.lookup       -- risk-derived dimensions and lookup tables
riskwh.sandbox      -- exploration; not contracted; not consumed by ops</w:t>
      </w:r>
    </w:p>
    <w:p>
      <w:pPr>
        <w:pStyle w:val="Heading3"/>
        <w:spacing w:after="140" w:before="220"/>
      </w:pPr>
      <w:r>
        <w:rPr>
          <w:rFonts w:ascii="Calibri" w:cs="Calibri" w:eastAsia="Calibri" w:hAnsi="Calibri"/>
          <w:b/>
          <w:bCs/>
          <w:sz w:val="24"/>
          <w:szCs w:val="24"/>
        </w:rPr>
        <w:t xml:space="preserve">Table naming</w:t>
      </w:r>
    </w:p>
    <w:p>
      <w:pPr>
        <w:shd w:fill="F7F7F7" w:color="auto" w:val="clear"/>
        <w:spacing w:after="100" w:before="100" w:line="260"/>
        <w:ind w:left="200"/>
      </w:pPr>
      <w:r>
        <w:rPr>
          <w:rFonts w:ascii="Consolas" w:cs="Consolas" w:eastAsia="Consolas" w:hAnsi="Consolas"/>
          <w:sz w:val="18"/>
          <w:szCs w:val="18"/>
        </w:rPr>
        <w:t xml:space="preserve">fact_&lt;entity&gt;_&lt;measure&gt;      -- atomic primary, e.g. fact_exposure
dim_&lt;entity&gt;                 -- dimensions, e.g. dim_counterparty
&lt;entity&gt;_&lt;purpose&gt;_summary   -- curated summary, e.g. cp_risk_summary
&lt;entity&gt;_&lt;purpose&gt;_360       -- 360-style products
report_&lt;consumer&gt;_&lt;purpose&gt;  -- reporting, e.g. report_basel_sa_ccr</w:t>
      </w:r>
    </w:p>
    <w:p>
      <w:pPr>
        <w:pStyle w:val="Heading3"/>
        <w:spacing w:after="140" w:before="220"/>
      </w:pPr>
      <w:r>
        <w:rPr>
          <w:rFonts w:ascii="Calibri" w:cs="Calibri" w:eastAsia="Calibri" w:hAnsi="Calibri"/>
          <w:b/>
          <w:bCs/>
          <w:sz w:val="24"/>
          <w:szCs w:val="24"/>
        </w:rPr>
        <w:t xml:space="preserve">Consumer access</w:t>
      </w:r>
    </w:p>
    <w:p>
      <w:pPr>
        <w:spacing w:after="100" w:before="100" w:line="300"/>
      </w:pPr>
      <w:r>
        <w:rPr>
          <w:rFonts w:ascii="Calibri" w:cs="Calibri" w:eastAsia="Calibri" w:hAnsi="Calibri"/>
          <w:sz w:val="22"/>
          <w:szCs w:val="22"/>
        </w:rPr>
        <w:t xml:space="preserve">Consumers (BI tools, dashboards, ad-hoc queries) connect to riskwh only. Direct consumer connections to malcode-specific schemas are not supported.</w:t>
      </w:r>
    </w:p>
    <w:p>
      <w:pPr>
        <w:spacing w:after="100" w:before="100" w:line="300"/>
      </w:pPr>
      <w:r>
        <w:rPr>
          <w:rFonts w:ascii="Calibri" w:cs="Calibri" w:eastAsia="Calibri" w:hAnsi="Calibri"/>
          <w:sz w:val="22"/>
          <w:szCs w:val="22"/>
        </w:rPr>
        <w:t xml:space="preserve">When a consumer is found connecting directly to a malcode-specific schema:</w:t>
      </w:r>
    </w:p>
    <w:p>
      <w:pPr>
        <w:pStyle w:val="ListParagraph"/>
        <w:numPr>
          <w:ilvl w:val="0"/>
          <w:numId w:val="2"/>
        </w:numPr>
        <w:spacing w:after="60" w:before="60" w:line="280"/>
      </w:pPr>
      <w:r>
        <w:rPr>
          <w:rFonts w:ascii="Calibri" w:cs="Calibri" w:eastAsia="Calibri" w:hAnsi="Calibri"/>
          <w:sz w:val="22"/>
          <w:szCs w:val="22"/>
        </w:rPr>
        <w:t xml:space="preserve">Acknowledge the work</w:t>
      </w:r>
    </w:p>
    <w:p>
      <w:pPr>
        <w:pStyle w:val="ListParagraph"/>
        <w:numPr>
          <w:ilvl w:val="0"/>
          <w:numId w:val="2"/>
        </w:numPr>
        <w:spacing w:after="60" w:before="60" w:line="280"/>
      </w:pPr>
      <w:r>
        <w:rPr>
          <w:rFonts w:ascii="Calibri" w:cs="Calibri" w:eastAsia="Calibri" w:hAnsi="Calibri"/>
          <w:sz w:val="22"/>
          <w:szCs w:val="22"/>
        </w:rPr>
        <w:t xml:space="preserve">Identify what to bring into the analytics layer (use the Onboarding Form)</w:t>
      </w:r>
    </w:p>
    <w:p>
      <w:pPr>
        <w:pStyle w:val="ListParagraph"/>
        <w:numPr>
          <w:ilvl w:val="0"/>
          <w:numId w:val="2"/>
        </w:numPr>
        <w:spacing w:after="60" w:before="60" w:line="280"/>
      </w:pPr>
      <w:r>
        <w:rPr>
          <w:rFonts w:ascii="Calibri" w:cs="Calibri" w:eastAsia="Calibri" w:hAnsi="Calibri"/>
          <w:sz w:val="22"/>
          <w:szCs w:val="22"/>
        </w:rPr>
        <w:t xml:space="preserve">Re-point the consumer to the analytics product once it exists</w:t>
      </w:r>
    </w:p>
    <w:p>
      <w:pPr>
        <w:pStyle w:val="Heading2"/>
        <w:spacing w:after="160" w:before="280"/>
      </w:pPr>
      <w:r>
        <w:rPr>
          <w:rFonts w:ascii="Calibri" w:cs="Calibri" w:eastAsia="Calibri" w:hAnsi="Calibri"/>
          <w:b/>
          <w:bCs/>
          <w:sz w:val="28"/>
          <w:szCs w:val="28"/>
        </w:rPr>
        <w:t xml:space="preserve">E. Semantic Layer Definition Template</w:t>
      </w:r>
    </w:p>
    <w:p>
      <w:pPr>
        <w:spacing w:after="100" w:before="100" w:line="300"/>
      </w:pPr>
      <w:r>
        <w:rPr>
          <w:rFonts w:ascii="Calibri" w:cs="Calibri" w:eastAsia="Calibri" w:hAnsi="Calibri"/>
          <w:sz w:val="22"/>
          <w:szCs w:val="22"/>
        </w:rPr>
        <w:t xml:space="preserve">DRAFT v1</w:t>
      </w:r>
    </w:p>
    <w:p>
      <w:pPr>
        <w:shd w:fill="F7F7F7" w:color="auto" w:val="clear"/>
        <w:spacing w:after="100" w:before="100" w:line="260"/>
        <w:ind w:left="200"/>
      </w:pPr>
      <w:r>
        <w:rPr>
          <w:rFonts w:ascii="Consolas" w:cs="Consolas" w:eastAsia="Consolas" w:hAnsi="Consolas"/>
          <w:sz w:val="18"/>
          <w:szCs w:val="18"/>
        </w:rPr>
        <w:t xml:space="preserve"># Lives in: risk-warehouse/semantic/&lt;domain&gt;/&lt;measure&gt;.yaml
semantic_models:
  - name: ccr_exposure_metrics
    description: Counterparty credit risk exposure metrics
    model: ref('fact_exposure')
    contract_ref: contracts/counterparty_risk/exposure.yaml
    entities:
      - { name: counterparty, type: foreign, expr: counterparty_id }
      - { name: netting_set,  type: foreign, expr: netting_set_id }
      - name: valuation_date
        type: time
        type_params: { time_granularity: day }
    dimensions:
      - { name: bucket,   type: categorical }
      - name: scenario
        type: categorical
        allowed_values: [base, stress_2008, stress_covid, regulatory]
    measures:
      - name: ee
        agg: sum
        expr: ee
        agg_params: { required_grain: [netting_set, time_bucket, scenario] }
      - name: pfe
        agg: max
        expr: pfe
        agg_params:
          safe_aggregation_levels: [time_bucket, scenario]
          unsafe_aggregation_levels: [counterparty, netting_set]
          on_unsafe_query: error</w:t>
      </w:r>
    </w:p>
    <w:p>
      <w:pPr>
        <w:pStyle w:val="Heading3"/>
        <w:spacing w:after="140" w:before="220"/>
      </w:pPr>
      <w:r>
        <w:rPr>
          <w:rFonts w:ascii="Calibri" w:cs="Calibri" w:eastAsia="Calibri" w:hAnsi="Calibri"/>
          <w:b/>
          <w:bCs/>
          <w:sz w:val="24"/>
          <w:szCs w:val="24"/>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Place</w:t>
            </w:r>
          </w:p>
        </w:tc>
        <w:tc>
          <w:tcPr>
            <w:tcW w:type="dxa" w:w="46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Notes</w:t>
            </w:r>
          </w:p>
        </w:tc>
      </w:tr>
      <w:tr>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Databricks (dbt Metric Views or Databricks Metric Views)</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Central definitions enforced at SQL level</w:t>
            </w:r>
          </w:p>
        </w:tc>
      </w:tr>
      <w:tr>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BI tool (e.g. MicroStrategy level metrics)</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Definitions enforced at BI-tool level</w:t>
            </w:r>
          </w:p>
        </w:tc>
      </w:tr>
    </w:tbl>
    <w:p>
      <w:pPr>
        <w:spacing w:after="100" w:before="100" w:line="300"/>
      </w:pPr>
      <w:r>
        <w:rPr>
          <w:rFonts w:ascii="Calibri" w:cs="Calibri" w:eastAsia="Calibri" w:hAnsi="Calibri"/>
          <w:sz w:val="22"/>
          <w:szCs w:val="22"/>
        </w:rPr>
        <w:t xml:space="preserve">Definitions are written once centrally; the BI tool mirrors them.</w:t>
      </w:r>
    </w:p>
    <w:p>
      <w:pPr>
        <w:pStyle w:val="Heading3"/>
        <w:spacing w:after="140" w:before="220"/>
      </w:pPr>
      <w:r>
        <w:rPr>
          <w:rFonts w:ascii="Calibri" w:cs="Calibri" w:eastAsia="Calibri" w:hAnsi="Calibri"/>
          <w:b/>
          <w:bCs/>
          <w:sz w:val="24"/>
          <w:szCs w:val="24"/>
        </w:rPr>
        <w:t xml:space="preserve">Safe vs unsafe queries</w:t>
      </w:r>
    </w:p>
    <w:p>
      <w:pPr>
        <w:shd w:fill="F7F7F7" w:color="auto" w:val="clear"/>
        <w:spacing w:after="100" w:before="100" w:line="260"/>
        <w:ind w:left="200"/>
      </w:pPr>
      <w:r>
        <w:rPr>
          <w:rFonts w:ascii="Consolas" w:cs="Consolas" w:eastAsia="Consolas" w:hAnsi="Consolas"/>
          <w:sz w:val="18"/>
          <w:szCs w:val="18"/>
        </w:rPr>
        <w:t xml:space="preserve">-- Safe: aggregate at each fact's grain, then combine
WITH exp_at_cp AS (
  SELECT counterparty, MAX(pfe) AS pfe
  FROM fact_exposure WHERE valuation_date = '2026-05-04'
  GROUP BY counterparty
),
mtm_at_cp AS (
  SELECT counterparty, SUM(mtm) AS mtm
  FROM fact_mtm WHERE valuation_date = '2026-05-04'
  GROUP BY counterparty
)
SELECT * FROM exp_at_cp JOIN mtm_at_cp USING (counterparty);
-- Unsafe: row-joining facts at different levels of detail
SELECT counterparty, SUM(pfe), SUM(mtm)
FROM fact_exposure JOIN fact_mtm
  ON fact_exposure.counterparty = fact_mtm.counterparty
GROUP BY counterparty;</w:t>
      </w:r>
    </w:p>
    <w:p>
      <w:pPr>
        <w:spacing w:after="100" w:before="100" w:line="300"/>
      </w:pPr>
      <w:r>
        <w:rPr>
          <w:rFonts w:ascii="Calibri" w:cs="Calibri" w:eastAsia="Calibri" w:hAnsi="Calibri"/>
          <w:sz w:val="22"/>
          <w:szCs w:val="22"/>
        </w:rPr>
        <w:t xml:space="preserve">The semantic layer enforces the aggregation and grain rules defined in the product contract.</w:t>
      </w:r>
    </w:p>
    <w:p>
      <w:pPr>
        <w:pStyle w:val="Heading2"/>
        <w:spacing w:after="160" w:before="280"/>
      </w:pPr>
      <w:r>
        <w:rPr>
          <w:rFonts w:ascii="Calibri" w:cs="Calibri" w:eastAsia="Calibri" w:hAnsi="Calibri"/>
          <w:b/>
          <w:bCs/>
          <w:sz w:val="28"/>
          <w:szCs w:val="28"/>
        </w:rPr>
        <w:t xml:space="preserve">F. Onboarding Form Addendum — Promoting an Existing Report</w:t>
      </w:r>
    </w:p>
    <w:p>
      <w:pPr>
        <w:spacing w:after="100" w:before="100" w:line="300"/>
      </w:pPr>
      <w:r>
        <w:rPr>
          <w:rFonts w:ascii="Calibri" w:cs="Calibri" w:eastAsia="Calibri" w:hAnsi="Calibri"/>
          <w:sz w:val="22"/>
          <w:szCs w:val="22"/>
        </w:rPr>
        <w:t xml:space="preserve">DRAFT v1</w:t>
      </w:r>
    </w:p>
    <w:p>
      <w:pPr>
        <w:spacing w:after="100" w:before="100" w:line="300"/>
      </w:pPr>
      <w:r>
        <w:rPr>
          <w:rFonts w:ascii="Calibri" w:cs="Calibri" w:eastAsia="Calibri" w:hAnsi="Calibri"/>
          <w:sz w:val="22"/>
          <w:szCs w:val="22"/>
        </w:rPr>
        <w:t xml:space="preserve">Used in addition to Sections A–D when the source data is an existing report that already drives value with current consumers, and the goal is to formalise it as a governed data product in riskwh. See "From Risk Reports to Governed Data Products" for the full context.</w:t>
      </w:r>
    </w:p>
    <w:p>
      <w:pPr>
        <w:pStyle w:val="Heading3"/>
        <w:spacing w:after="140" w:before="220"/>
      </w:pPr>
      <w:r>
        <w:rPr>
          <w:rFonts w:ascii="Calibri" w:cs="Calibri" w:eastAsia="Calibri" w:hAnsi="Calibri"/>
          <w:b/>
          <w:bCs/>
          <w:sz w:val="24"/>
          <w:szCs w:val="24"/>
        </w:rPr>
        <w:t xml:space="preserve">Section E.1 — Report identity and current use</w:t>
      </w:r>
    </w:p>
    <w:p>
      <w:pPr>
        <w:pStyle w:val="ListParagraph"/>
        <w:numPr>
          <w:ilvl w:val="0"/>
          <w:numId w:val="2"/>
        </w:numPr>
        <w:spacing w:after="60" w:before="60" w:line="280"/>
      </w:pPr>
      <w:r>
        <w:rPr>
          <w:rFonts w:ascii="Calibri" w:cs="Calibri" w:eastAsia="Calibri" w:hAnsi="Calibri"/>
          <w:sz w:val="22"/>
          <w:szCs w:val="22"/>
        </w:rPr>
        <w:t xml:space="preserve">E1. Report name and identifier:</w:t>
      </w:r>
    </w:p>
    <w:p>
      <w:pPr>
        <w:pStyle w:val="ListParagraph"/>
        <w:numPr>
          <w:ilvl w:val="0"/>
          <w:numId w:val="2"/>
        </w:numPr>
        <w:spacing w:after="60" w:before="60" w:line="280"/>
      </w:pPr>
      <w:r>
        <w:rPr>
          <w:rFonts w:ascii="Calibri" w:cs="Calibri" w:eastAsia="Calibri" w:hAnsi="Calibri"/>
          <w:sz w:val="22"/>
          <w:szCs w:val="22"/>
        </w:rPr>
        <w:t xml:space="preserve">E2. Originating application:</w:t>
      </w:r>
    </w:p>
    <w:p>
      <w:pPr>
        <w:pStyle w:val="ListParagraph"/>
        <w:numPr>
          <w:ilvl w:val="0"/>
          <w:numId w:val="2"/>
        </w:numPr>
        <w:spacing w:after="60" w:before="60" w:line="280"/>
      </w:pPr>
      <w:r>
        <w:rPr>
          <w:rFonts w:ascii="Calibri" w:cs="Calibri" w:eastAsia="Calibri" w:hAnsi="Calibri"/>
          <w:sz w:val="22"/>
          <w:szCs w:val="22"/>
        </w:rPr>
        <w:t xml:space="preserve">E3. Original requester (team, role):</w:t>
      </w:r>
    </w:p>
    <w:p>
      <w:pPr>
        <w:pStyle w:val="ListParagraph"/>
        <w:numPr>
          <w:ilvl w:val="0"/>
          <w:numId w:val="2"/>
        </w:numPr>
        <w:spacing w:after="60" w:before="60" w:line="280"/>
      </w:pPr>
      <w:r>
        <w:rPr>
          <w:rFonts w:ascii="Calibri" w:cs="Calibri" w:eastAsia="Calibri" w:hAnsi="Calibri"/>
          <w:sz w:val="22"/>
          <w:szCs w:val="22"/>
        </w:rPr>
        <w:t xml:space="preserve">E4. Date the report was first produced:</w:t>
      </w:r>
    </w:p>
    <w:p>
      <w:pPr>
        <w:pStyle w:val="ListParagraph"/>
        <w:numPr>
          <w:ilvl w:val="0"/>
          <w:numId w:val="2"/>
        </w:numPr>
        <w:spacing w:after="60" w:before="60" w:line="280"/>
      </w:pPr>
      <w:r>
        <w:rPr>
          <w:rFonts w:ascii="Calibri" w:cs="Calibri" w:eastAsia="Calibri" w:hAnsi="Calibri"/>
          <w:sz w:val="22"/>
          <w:szCs w:val="22"/>
        </w:rPr>
        <w:t xml:space="preserve">E5. Current primary consumers (teams, roles):</w:t>
      </w:r>
    </w:p>
    <w:p>
      <w:pPr>
        <w:pStyle w:val="ListParagraph"/>
        <w:numPr>
          <w:ilvl w:val="0"/>
          <w:numId w:val="2"/>
        </w:numPr>
        <w:spacing w:after="60" w:before="60" w:line="280"/>
      </w:pPr>
      <w:r>
        <w:rPr>
          <w:rFonts w:ascii="Calibri" w:cs="Calibri" w:eastAsia="Calibri" w:hAnsi="Calibri"/>
          <w:sz w:val="22"/>
          <w:szCs w:val="22"/>
        </w:rPr>
        <w:t xml:space="preserve">E6. Business question(s) this report answers:</w:t>
      </w:r>
    </w:p>
    <w:p>
      <w:pPr>
        <w:pStyle w:val="ListParagraph"/>
        <w:numPr>
          <w:ilvl w:val="0"/>
          <w:numId w:val="2"/>
        </w:numPr>
        <w:spacing w:after="60" w:before="60" w:line="280"/>
      </w:pPr>
      <w:r>
        <w:rPr>
          <w:rFonts w:ascii="Calibri" w:cs="Calibri" w:eastAsia="Calibri" w:hAnsi="Calibri"/>
          <w:sz w:val="22"/>
          <w:szCs w:val="22"/>
        </w:rPr>
        <w:t xml:space="preserve">E7. Distribution method today (email, SFTP, dashboard, file drop):</w:t>
      </w:r>
    </w:p>
    <w:p>
      <w:pPr>
        <w:pStyle w:val="ListParagraph"/>
        <w:numPr>
          <w:ilvl w:val="0"/>
          <w:numId w:val="2"/>
        </w:numPr>
        <w:spacing w:after="60" w:before="60" w:line="280"/>
      </w:pPr>
      <w:r>
        <w:rPr>
          <w:rFonts w:ascii="Calibri" w:cs="Calibri" w:eastAsia="Calibri" w:hAnsi="Calibri"/>
          <w:sz w:val="22"/>
          <w:szCs w:val="22"/>
        </w:rPr>
        <w:t xml:space="preserve">E8. Refresh frequency and current SLA:</w:t>
      </w:r>
    </w:p>
    <w:p>
      <w:pPr>
        <w:pStyle w:val="ListParagraph"/>
        <w:numPr>
          <w:ilvl w:val="0"/>
          <w:numId w:val="2"/>
        </w:numPr>
        <w:spacing w:after="60" w:before="60" w:line="280"/>
      </w:pPr>
      <w:r>
        <w:rPr>
          <w:rFonts w:ascii="Calibri" w:cs="Calibri" w:eastAsia="Calibri" w:hAnsi="Calibri"/>
          <w:sz w:val="22"/>
          <w:szCs w:val="22"/>
        </w:rPr>
        <w:t xml:space="preserve">E9. Are there variants of this report? List the other reports that share the same content with different groupings:</w:t>
      </w:r>
    </w:p>
    <w:p>
      <w:pPr>
        <w:pStyle w:val="Heading3"/>
        <w:spacing w:after="140" w:before="220"/>
      </w:pPr>
      <w:r>
        <w:rPr>
          <w:rFonts w:ascii="Calibri" w:cs="Calibri" w:eastAsia="Calibri" w:hAnsi="Calibri"/>
          <w:b/>
          <w:bCs/>
          <w:sz w:val="24"/>
          <w:szCs w:val="24"/>
        </w:rPr>
        <w:t xml:space="preserve">Section E.2 — Content description</w:t>
      </w:r>
    </w:p>
    <w:p>
      <w:pPr>
        <w:pStyle w:val="ListParagraph"/>
        <w:numPr>
          <w:ilvl w:val="0"/>
          <w:numId w:val="2"/>
        </w:numPr>
        <w:spacing w:after="60" w:before="60" w:line="280"/>
      </w:pPr>
      <w:r>
        <w:rPr>
          <w:rFonts w:ascii="Calibri" w:cs="Calibri" w:eastAsia="Calibri" w:hAnsi="Calibri"/>
          <w:sz w:val="22"/>
          <w:szCs w:val="22"/>
        </w:rPr>
        <w:t xml:space="preserve">E10. Column list with business definitions (attach as a separate document if long):</w:t>
      </w:r>
    </w:p>
    <w:p>
      <w:pPr>
        <w:pStyle w:val="ListParagraph"/>
        <w:numPr>
          <w:ilvl w:val="0"/>
          <w:numId w:val="2"/>
        </w:numPr>
        <w:spacing w:after="60" w:before="60" w:line="280"/>
      </w:pPr>
      <w:r>
        <w:rPr>
          <w:rFonts w:ascii="Calibri" w:cs="Calibri" w:eastAsia="Calibri" w:hAnsi="Calibri"/>
          <w:sz w:val="22"/>
          <w:szCs w:val="22"/>
        </w:rPr>
        <w:t xml:space="preserve">E11. Level of detail — one row represents what?</w:t>
      </w:r>
    </w:p>
    <w:p>
      <w:pPr>
        <w:pStyle w:val="ListParagraph"/>
        <w:numPr>
          <w:ilvl w:val="0"/>
          <w:numId w:val="2"/>
        </w:numPr>
        <w:spacing w:after="60" w:before="60" w:line="280"/>
      </w:pPr>
      <w:r>
        <w:rPr>
          <w:rFonts w:ascii="Calibri" w:cs="Calibri" w:eastAsia="Calibri" w:hAnsi="Calibri"/>
          <w:sz w:val="22"/>
          <w:szCs w:val="22"/>
        </w:rPr>
        <w:t xml:space="preserve">E12. Source data — which app calculations, which schemas, which tables produce these numbers?</w:t>
      </w:r>
    </w:p>
    <w:p>
      <w:pPr>
        <w:pStyle w:val="ListParagraph"/>
        <w:numPr>
          <w:ilvl w:val="0"/>
          <w:numId w:val="2"/>
        </w:numPr>
        <w:spacing w:after="60" w:before="60" w:line="280"/>
      </w:pPr>
      <w:r>
        <w:rPr>
          <w:rFonts w:ascii="Calibri" w:cs="Calibri" w:eastAsia="Calibri" w:hAnsi="Calibri"/>
          <w:sz w:val="22"/>
          <w:szCs w:val="22"/>
        </w:rPr>
        <w:t xml:space="preserve">E13. Filters applied to the underlying data before reporting (asset class, region, currency, business date, status, etc.):</w:t>
      </w:r>
    </w:p>
    <w:p>
      <w:pPr>
        <w:pStyle w:val="ListParagraph"/>
        <w:numPr>
          <w:ilvl w:val="0"/>
          <w:numId w:val="2"/>
        </w:numPr>
        <w:spacing w:after="60" w:before="60" w:line="280"/>
      </w:pPr>
      <w:r>
        <w:rPr>
          <w:rFonts w:ascii="Calibri" w:cs="Calibri" w:eastAsia="Calibri" w:hAnsi="Calibri"/>
          <w:sz w:val="22"/>
          <w:szCs w:val="22"/>
        </w:rPr>
        <w:t xml:space="preserve">E14. Reference data joined into the report (counterparty master, security master, agreement, facility, etc.):</w:t>
      </w:r>
    </w:p>
    <w:p>
      <w:pPr>
        <w:pStyle w:val="Heading3"/>
        <w:spacing w:after="140" w:before="220"/>
      </w:pPr>
      <w:r>
        <w:rPr>
          <w:rFonts w:ascii="Calibri" w:cs="Calibri" w:eastAsia="Calibri" w:hAnsi="Calibri"/>
          <w:b/>
          <w:bCs/>
          <w:sz w:val="24"/>
          <w:szCs w:val="24"/>
        </w:rPr>
        <w:t xml:space="preserve">Section E.3 — Aggregation and semantics</w:t>
      </w:r>
    </w:p>
    <w:p>
      <w:pPr>
        <w:pStyle w:val="ListParagraph"/>
        <w:numPr>
          <w:ilvl w:val="0"/>
          <w:numId w:val="2"/>
        </w:numPr>
        <w:spacing w:after="60" w:before="60" w:line="280"/>
      </w:pPr>
      <w:r>
        <w:rPr>
          <w:rFonts w:ascii="Calibri" w:cs="Calibri" w:eastAsia="Calibri" w:hAnsi="Calibri"/>
          <w:sz w:val="22"/>
          <w:szCs w:val="22"/>
        </w:rPr>
        <w:t xml:space="preserve">E15. Aggregations and roll-ups baked into the report (sum, count, max, min, percentile, weighted average):</w:t>
      </w:r>
    </w:p>
    <w:p>
      <w:pPr>
        <w:pStyle w:val="ListParagraph"/>
        <w:numPr>
          <w:ilvl w:val="0"/>
          <w:numId w:val="2"/>
        </w:numPr>
        <w:spacing w:after="60" w:before="60" w:line="280"/>
      </w:pPr>
      <w:r>
        <w:rPr>
          <w:rFonts w:ascii="Calibri" w:cs="Calibri" w:eastAsia="Calibri" w:hAnsi="Calibri"/>
          <w:sz w:val="22"/>
          <w:szCs w:val="22"/>
        </w:rPr>
        <w:t xml:space="preserve">E16. For each measure, is it additive, non-additive, or a percentile? Across which dimensions?</w:t>
      </w:r>
    </w:p>
    <w:p>
      <w:pPr>
        <w:pStyle w:val="ListParagraph"/>
        <w:numPr>
          <w:ilvl w:val="0"/>
          <w:numId w:val="2"/>
        </w:numPr>
        <w:spacing w:after="60" w:before="60" w:line="280"/>
      </w:pPr>
      <w:r>
        <w:rPr>
          <w:rFonts w:ascii="Calibri" w:cs="Calibri" w:eastAsia="Calibri" w:hAnsi="Calibri"/>
          <w:sz w:val="22"/>
          <w:szCs w:val="22"/>
        </w:rPr>
        <w:t xml:space="preserve">E17. Business rules embedded in the report logic (e.g. "exclude pending trades", "net within netting set", "convert to USD"):</w:t>
      </w:r>
    </w:p>
    <w:p>
      <w:pPr>
        <w:pStyle w:val="ListParagraph"/>
        <w:numPr>
          <w:ilvl w:val="0"/>
          <w:numId w:val="2"/>
        </w:numPr>
        <w:spacing w:after="60" w:before="60" w:line="280"/>
      </w:pPr>
      <w:r>
        <w:rPr>
          <w:rFonts w:ascii="Calibri" w:cs="Calibri" w:eastAsia="Calibri" w:hAnsi="Calibri"/>
          <w:sz w:val="22"/>
          <w:szCs w:val="22"/>
        </w:rPr>
        <w:t xml:space="preserve">E18. Known limitations on how the numbers can be sliced (dimensions that should not be combined):</w:t>
      </w:r>
    </w:p>
    <w:p>
      <w:pPr>
        <w:pStyle w:val="Heading3"/>
        <w:spacing w:after="140" w:before="220"/>
      </w:pPr>
      <w:r>
        <w:rPr>
          <w:rFonts w:ascii="Calibri" w:cs="Calibri" w:eastAsia="Calibri" w:hAnsi="Calibri"/>
          <w:b/>
          <w:bCs/>
          <w:sz w:val="24"/>
          <w:szCs w:val="24"/>
        </w:rPr>
        <w:t xml:space="preserve">Section E.4 — Consumer impact during promotion</w:t>
      </w:r>
    </w:p>
    <w:p>
      <w:pPr>
        <w:pStyle w:val="ListParagraph"/>
        <w:numPr>
          <w:ilvl w:val="0"/>
          <w:numId w:val="2"/>
        </w:numPr>
        <w:spacing w:after="60" w:before="60" w:line="280"/>
      </w:pPr>
      <w:r>
        <w:rPr>
          <w:rFonts w:ascii="Calibri" w:cs="Calibri" w:eastAsia="Calibri" w:hAnsi="Calibri"/>
          <w:sz w:val="22"/>
          <w:szCs w:val="22"/>
        </w:rPr>
        <w:t xml:space="preserve">E19. Will current consumers continue to receive the report in its current form? (Recommended: yes during transition)</w:t>
      </w:r>
    </w:p>
    <w:p>
      <w:pPr>
        <w:pStyle w:val="ListParagraph"/>
        <w:numPr>
          <w:ilvl w:val="0"/>
          <w:numId w:val="2"/>
        </w:numPr>
        <w:spacing w:after="60" w:before="60" w:line="280"/>
      </w:pPr>
      <w:r>
        <w:rPr>
          <w:rFonts w:ascii="Calibri" w:cs="Calibri" w:eastAsia="Calibri" w:hAnsi="Calibri"/>
          <w:sz w:val="22"/>
          <w:szCs w:val="22"/>
        </w:rPr>
        <w:t xml:space="preserve">E20. Target state for current consumers (continue receiving the report, switch to BI dashboard on the data product, both):</w:t>
      </w:r>
    </w:p>
    <w:p>
      <w:pPr>
        <w:pStyle w:val="ListParagraph"/>
        <w:numPr>
          <w:ilvl w:val="0"/>
          <w:numId w:val="2"/>
        </w:numPr>
        <w:spacing w:after="60" w:before="60" w:line="280"/>
      </w:pPr>
      <w:r>
        <w:rPr>
          <w:rFonts w:ascii="Calibri" w:cs="Calibri" w:eastAsia="Calibri" w:hAnsi="Calibri"/>
          <w:sz w:val="22"/>
          <w:szCs w:val="22"/>
        </w:rPr>
        <w:t xml:space="preserve">E21. Acceptable transition period:</w:t>
      </w:r>
    </w:p>
    <w:p>
      <w:pPr>
        <w:pStyle w:val="ListParagraph"/>
        <w:numPr>
          <w:ilvl w:val="0"/>
          <w:numId w:val="2"/>
        </w:numPr>
        <w:spacing w:after="60" w:before="60" w:line="280"/>
      </w:pPr>
      <w:r>
        <w:rPr>
          <w:rFonts w:ascii="Calibri" w:cs="Calibri" w:eastAsia="Calibri" w:hAnsi="Calibri"/>
          <w:sz w:val="22"/>
          <w:szCs w:val="22"/>
        </w:rPr>
        <w:t xml:space="preserve">E22. Any compliance or regulatory dependencies on the report's current form (e.g. submitted to a regulator in this exact format):</w:t>
      </w:r>
    </w:p>
    <w:p>
      <w:pPr>
        <w:pStyle w:val="Heading3"/>
        <w:spacing w:after="140" w:before="220"/>
      </w:pPr>
      <w:r>
        <w:rPr>
          <w:rFonts w:ascii="Calibri" w:cs="Calibri" w:eastAsia="Calibri" w:hAnsi="Calibri"/>
          <w:b/>
          <w:bCs/>
          <w:sz w:val="24"/>
          <w:szCs w:val="24"/>
        </w:rPr>
        <w:t xml:space="preserve">Workflow for promotion</w:t>
      </w:r>
    </w:p>
    <w:p>
      <w:pPr>
        <w:pStyle w:val="ListParagraph"/>
        <w:numPr>
          <w:ilvl w:val="0"/>
          <w:numId w:val="2"/>
        </w:numPr>
        <w:spacing w:after="60" w:before="60" w:line="280"/>
      </w:pPr>
      <w:r>
        <w:rPr>
          <w:rFonts w:ascii="Calibri" w:cs="Calibri" w:eastAsia="Calibri" w:hAnsi="Calibri"/>
          <w:sz w:val="22"/>
          <w:szCs w:val="22"/>
        </w:rPr>
        <w:t xml:space="preserve">App team fills in Sections A–D plus E.1–E.4 above</w:t>
      </w:r>
    </w:p>
    <w:p>
      <w:pPr>
        <w:pStyle w:val="ListParagraph"/>
        <w:numPr>
          <w:ilvl w:val="0"/>
          <w:numId w:val="2"/>
        </w:numPr>
        <w:spacing w:after="60" w:before="60" w:line="280"/>
      </w:pPr>
      <w:r>
        <w:rPr>
          <w:rFonts w:ascii="Calibri" w:cs="Calibri" w:eastAsia="Calibri" w:hAnsi="Calibri"/>
          <w:sz w:val="22"/>
          <w:szCs w:val="22"/>
        </w:rPr>
        <w:t xml:space="preserve">Reviewed jointly by Risk Data and the PG Leader</w:t>
      </w:r>
    </w:p>
    <w:p>
      <w:pPr>
        <w:pStyle w:val="ListParagraph"/>
        <w:numPr>
          <w:ilvl w:val="0"/>
          <w:numId w:val="2"/>
        </w:numPr>
        <w:spacing w:after="60" w:before="60" w:line="280"/>
      </w:pPr>
      <w:r>
        <w:rPr>
          <w:rFonts w:ascii="Calibri" w:cs="Calibri" w:eastAsia="Calibri" w:hAnsi="Calibri"/>
          <w:sz w:val="22"/>
          <w:szCs w:val="22"/>
        </w:rPr>
        <w:t xml:space="preserve">Variants identified — multiple reports with the same content + different groupings collapse into one product with multiple consumption views</w:t>
      </w:r>
    </w:p>
    <w:p>
      <w:pPr>
        <w:pStyle w:val="ListParagraph"/>
        <w:numPr>
          <w:ilvl w:val="0"/>
          <w:numId w:val="2"/>
        </w:numPr>
        <w:spacing w:after="60" w:before="60" w:line="280"/>
      </w:pPr>
      <w:r>
        <w:rPr>
          <w:rFonts w:ascii="Calibri" w:cs="Calibri" w:eastAsia="Calibri" w:hAnsi="Calibri"/>
          <w:sz w:val="22"/>
          <w:szCs w:val="22"/>
        </w:rPr>
        <w:t xml:space="preserve">Contract authored from the metadata supplied</w:t>
      </w:r>
    </w:p>
    <w:p>
      <w:pPr>
        <w:pStyle w:val="ListParagraph"/>
        <w:numPr>
          <w:ilvl w:val="0"/>
          <w:numId w:val="2"/>
        </w:numPr>
        <w:spacing w:after="60" w:before="60" w:line="280"/>
      </w:pPr>
      <w:r>
        <w:rPr>
          <w:rFonts w:ascii="Calibri" w:cs="Calibri" w:eastAsia="Calibri" w:hAnsi="Calibri"/>
          <w:sz w:val="22"/>
          <w:szCs w:val="22"/>
        </w:rPr>
        <w:t xml:space="preserve">Data product registered in riskwh; current report continues unchanged during transition</w:t>
      </w:r>
    </w:p>
    <w:p>
      <w:pPr>
        <w:pStyle w:val="ListParagraph"/>
        <w:numPr>
          <w:ilvl w:val="0"/>
          <w:numId w:val="2"/>
        </w:numPr>
        <w:spacing w:after="60" w:before="60" w:line="280"/>
      </w:pPr>
      <w:r>
        <w:rPr>
          <w:rFonts w:ascii="Calibri" w:cs="Calibri" w:eastAsia="Calibri" w:hAnsi="Calibri"/>
          <w:sz w:val="22"/>
          <w:szCs w:val="22"/>
        </w:rPr>
        <w:t xml:space="preserve">Consumers gradually move to BI consumption on the data product</w:t>
      </w:r>
    </w:p>
    <w:p>
      <w:r>
        <w:br w:type="page"/>
      </w:r>
    </w:p>
    <w:p>
      <w:pPr>
        <w:pStyle w:val="Heading1"/>
        <w:spacing w:after="200" w:before="360"/>
      </w:pPr>
      <w:r>
        <w:rPr>
          <w:rFonts w:ascii="Calibri" w:cs="Calibri" w:eastAsia="Calibri" w:hAnsi="Calibri"/>
          <w:b/>
          <w:bCs/>
          <w:sz w:val="36"/>
          <w:szCs w:val="36"/>
        </w:rPr>
        <w:t xml:space="preserve">PAGE: 3. Glossary &amp; Terminology</w:t>
      </w:r>
    </w:p>
    <w:p>
      <w:pPr>
        <w:pBdr>
          <w:left w:val="single" w:color="B0B0B0" w:sz="18" w:space="12"/>
        </w:pBdr>
        <w:spacing w:after="200" w:before="80" w:line="300"/>
        <w:ind w:left="200"/>
      </w:pPr>
      <w:r>
        <w:rPr>
          <w:rFonts w:ascii="Calibri" w:cs="Calibri" w:eastAsia="Calibri" w:hAnsi="Calibri"/>
          <w:i/>
          <w:iCs/>
          <w:color w:val="555555"/>
          <w:sz w:val="22"/>
          <w:szCs w:val="22"/>
        </w:rPr>
        <w:t xml:space="preserve">Risk Data uses a small set of terms consistently across this space. This page defines each term and points to where it is used in detail. Risk-domain terms (PFE, CVA, SA-CCR, etc.) are defined in the Risk apps and the regulatory references they inherit from; this glossary covers data-architecture and analytics terms only.</w:t>
      </w:r>
    </w:p>
    <w:p>
      <w:pPr>
        <w:pStyle w:val="Heading2"/>
        <w:spacing w:after="160" w:before="280"/>
      </w:pPr>
      <w:r>
        <w:rPr>
          <w:rFonts w:ascii="Calibri" w:cs="Calibri" w:eastAsia="Calibri" w:hAnsi="Calibri"/>
          <w:b/>
          <w:bCs/>
          <w:sz w:val="28"/>
          <w:szCs w:val="28"/>
        </w:rPr>
        <w:t xml:space="preserve">Core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680"/>
        <w:gridCol w:w="2160"/>
      </w:tblGrid>
      <w:tr>
        <w:trPr>
          <w:tblHeader/>
        </w:trPr>
        <w:tc>
          <w:tcPr>
            <w:tcW w:type="dxa" w:w="25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Term</w:t>
            </w:r>
          </w:p>
        </w:tc>
        <w:tc>
          <w:tcPr>
            <w:tcW w:type="dxa" w:w="46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Definition</w:t>
            </w:r>
          </w:p>
        </w:tc>
        <w:tc>
          <w:tcPr>
            <w:tcW w:type="dxa" w:w="21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Detail</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CDM (Canonical Data Model)</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enterprise canonical data model for TDS. Organises TDS data into twelve domains in a defined sequence. Risk contributes Domain #5 — Derived Data and Metrics.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 — Data Domain Context</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 Domain Model</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Risk's contribution to enterprise CDM Domain #5. A connected model of derived data and metrics produced by Risk, composed of the four Product Group models. Sits in riskwh.risk_domain.</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 — Resolution path</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Product Group (PG)</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grouping of related Risk applications. Four PGs: Credit Risk, Market Risk, Liquidity, Finance.</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 — Catalog and schema layout</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Malcode-specific schema</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Databricks schema named after one application's malcode (e.g. creditrisk.xvala). One per application. Where the application lands its generated data.</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Schema resolution</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build-up from app-level schema (A) to Product Group level data model (B) to Risk Domain Model (C). The mechanism by which app-specific data becomes part of a connected analytics layer.</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 — Resolution path</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Data copy only by design</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principle that Databricks artifacts default to views over the underlying data. Physical copies are made only where the contract or implementation requires it.</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Data Product</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governed, contracted dataset designed for consumption. Has an owner, contract, SLA, and change policy.</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 · Standards &amp; Artifacts Library §B</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Contract</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machine-readable specification of what a data product means and how it can be used. Lives with the dataset in Git.</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Standards &amp; Artifacts Library §B</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Star Schema</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fact table joined to shared dimensions. Multiple facts sharing dimensions form a galaxy schema or fact constellation.</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Dimension</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Something the data is sliced by — counterparty, trade, currency, time bucket, book, desk. A conformed dimension is one that has the same meaning wherever it is used.</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Measure</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numerical value being analysed — exposure, PFE, CVA, collateral amount, capital. Each measure has an aggregation rule (additive, non-additive, percentile).</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Standards &amp; Artifacts Library §B, §E</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Grain</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level of detail one row represents in a fact table. Determines what can and cannot be aggregated.</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Conformed</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same entity, key, or hierarchy has the same meaning wherever it appears.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Curated</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Reorganised and aggregated for analytical use.</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Governed</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Subject to rules, ownership, change management, quality controls.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Semantic Layer</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component that enforces the contract's rules at query time. Aggregation rules and business behaviour are declared once and applied automatically.</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 · Standards &amp; Artifacts Library §E</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Entity</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real-world thing — counterparty, trade, agreement.</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Domain Model</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blueprint of how entities relate to each other. In the Risk space the Domain Model nests as App data footprint → Product Group model → Risk Domain Model.</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&amp; Design</w:t>
            </w:r>
          </w:p>
        </w:tc>
      </w:tr>
    </w:tbl>
    <w:p>
      <w:pPr>
        <w:pStyle w:val="Heading2"/>
        <w:spacing w:after="160" w:before="280"/>
      </w:pPr>
      <w:r>
        <w:rPr>
          <w:rFonts w:ascii="Calibri" w:cs="Calibri" w:eastAsia="Calibri" w:hAnsi="Calibri"/>
          <w:b/>
          <w:bCs/>
          <w:sz w:val="28"/>
          <w:szCs w:val="28"/>
        </w:rPr>
        <w:t xml:space="preserve">Data product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Type</w:t>
            </w:r>
          </w:p>
        </w:tc>
        <w:tc>
          <w:tcPr>
            <w:tcW w:type="dxa" w:w="64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Description</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Atomic primary</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Sits at a native source level of detail. The source of truth for one specific kind of metric.</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Curated / 360</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view derived across multiple atomic products, shaped for a particular consumption purpose.</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Reporting</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Purpose-built for a specific report or regulator.</w:t>
            </w:r>
          </w:p>
        </w:tc>
      </w:tr>
    </w:tbl>
    <w:p>
      <w:pPr>
        <w:pStyle w:val="Heading2"/>
        <w:spacing w:after="160" w:before="280"/>
      </w:pPr>
      <w:r>
        <w:rPr>
          <w:rFonts w:ascii="Calibri" w:cs="Calibri" w:eastAsia="Calibri" w:hAnsi="Calibri"/>
          <w:b/>
          <w:bCs/>
          <w:sz w:val="28"/>
          <w:szCs w:val="28"/>
        </w:rPr>
        <w:t xml:space="preserve">Data product status</w:t>
      </w:r>
    </w:p>
    <w:p>
      <w:pPr>
        <w:spacing w:after="100" w:before="100" w:line="300"/>
      </w:pPr>
      <w:r>
        <w:rPr>
          <w:rFonts w:ascii="Calibri" w:cs="Calibri" w:eastAsia="Calibri" w:hAnsi="Calibri"/>
          <w:sz w:val="22"/>
          <w:szCs w:val="22"/>
        </w:rPr>
        <w:t xml:space="preserve">These are properties a data product can have. They are not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Property</w:t>
            </w:r>
          </w:p>
        </w:tc>
        <w:tc>
          <w:tcPr>
            <w:tcW w:type="dxa" w:w="64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Meaning</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Authoritative</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Formally designated as canonical for a class of decisions.</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Certified</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Has passed a formal validation process (often regulatory or model-risk).</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Trusted</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Has earned organisational confidence through use.</w:t>
            </w:r>
          </w:p>
        </w:tc>
      </w:tr>
    </w:tbl>
    <w:p>
      <w:pPr>
        <w:pStyle w:val="Heading2"/>
        <w:spacing w:after="160" w:before="280"/>
      </w:pPr>
      <w:r>
        <w:rPr>
          <w:rFonts w:ascii="Calibri" w:cs="Calibri" w:eastAsia="Calibri" w:hAnsi="Calibri"/>
          <w:b/>
          <w:bCs/>
          <w:sz w:val="28"/>
          <w:szCs w:val="28"/>
        </w:rPr>
        <w:t xml:space="preserve">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Term</w:t>
            </w:r>
          </w:p>
        </w:tc>
        <w:tc>
          <w:tcPr>
            <w:tcW w:type="dxa" w:w="57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Equivalent to</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Source of truth</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Authoritative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Golden source</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Authoritative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Galaxy schema</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 constellation</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Bronze / Silver / Gold</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Medallion layers (lakehouse)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Conformed dimension</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Shared dimension, common dimension</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 schema</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Malcode-specific schema</w:t>
            </w:r>
          </w:p>
        </w:tc>
      </w:tr>
    </w:tbl>
    <w:p>
      <w:r>
        <w:br w:type="page"/>
      </w:r>
    </w:p>
    <w:p>
      <w:pPr>
        <w:pStyle w:val="Heading1"/>
        <w:spacing w:after="200" w:before="360"/>
      </w:pPr>
      <w:r>
        <w:rPr>
          <w:rFonts w:ascii="Calibri" w:cs="Calibri" w:eastAsia="Calibri" w:hAnsi="Calibri"/>
          <w:b/>
          <w:bCs/>
          <w:sz w:val="36"/>
          <w:szCs w:val="36"/>
        </w:rPr>
        <w:t xml:space="preserve">PAGE: 4. Worked Example — Counterparty 360 Product</w:t>
      </w:r>
    </w:p>
    <w:p>
      <w:pPr>
        <w:pBdr>
          <w:left w:val="single" w:color="B0B0B0" w:sz="18" w:space="12"/>
        </w:pBdr>
        <w:spacing w:after="200" w:before="80" w:line="300"/>
        <w:ind w:left="200"/>
      </w:pPr>
      <w:r>
        <w:rPr>
          <w:rFonts w:ascii="Calibri" w:cs="Calibri" w:eastAsia="Calibri" w:hAnsi="Calibri"/>
          <w:i/>
          <w:iCs/>
          <w:color w:val="555555"/>
          <w:sz w:val="22"/>
          <w:szCs w:val="22"/>
        </w:rPr>
        <w:t xml:space="preserve">The Architecture &amp; Design page introduces 360-style products as a layered pattern. This page walks through Counterparty 360 end to end as a worked example of that pattern.</w:t>
      </w:r>
    </w:p>
    <w:p>
      <w:pPr>
        <w:spacing w:after="100" w:before="100"/>
      </w:pPr>
      <w:r>
        <w:rPr>
          <w:rFonts w:ascii="Calibri" w:cs="Calibri" w:eastAsia="Calibri" w:hAnsi="Calibri"/>
          <w:i/>
          <w:iCs/>
          <w:color w:val="888888"/>
          <w:sz w:val="22"/>
          <w:szCs w:val="22"/>
        </w:rPr>
        <w:t xml:space="preserve">[IMAGE: 360 Layered Architecture — paste from risk_data_visuals_all.pptx, slide titled "360-style Analytics Product – Layered architecture pattern for cross-product views"]</w:t>
      </w:r>
    </w:p>
    <w:p>
      <w:pPr>
        <w:spacing w:after="100" w:before="100" w:line="300"/>
      </w:pPr>
      <w:r>
        <w:rPr>
          <w:rFonts w:ascii="Calibri" w:cs="Calibri" w:eastAsia="Calibri" w:hAnsi="Calibri"/>
          <w:sz w:val="22"/>
          <w:szCs w:val="22"/>
        </w:rPr>
        <w:t xml:space="preserve">A 360 product is a layered set of datasets, not a single wide table.</w:t>
      </w:r>
    </w:p>
    <w:p>
      <w:pPr>
        <w:pStyle w:val="Heading2"/>
        <w:spacing w:after="160" w:before="280"/>
      </w:pPr>
      <w:r>
        <w:rPr>
          <w:rFonts w:ascii="Calibri" w:cs="Calibri" w:eastAsia="Calibri" w:hAnsi="Calibri"/>
          <w:b/>
          <w:bCs/>
          <w:sz w:val="28"/>
          <w:szCs w:val="28"/>
        </w:rPr>
        <w:t xml:space="preserve">Why not one wide table</w:t>
      </w:r>
    </w:p>
    <w:p>
      <w:pPr>
        <w:spacing w:after="100" w:before="100" w:line="300"/>
      </w:pPr>
      <w:r>
        <w:rPr>
          <w:rFonts w:ascii="Calibri" w:cs="Calibri" w:eastAsia="Calibri" w:hAnsi="Calibri"/>
          <w:sz w:val="22"/>
          <w:szCs w:val="22"/>
        </w:rPr>
        <w:t xml:space="preserve">Facts in counterparty risk live at different levels of detail:</w:t>
      </w:r>
    </w:p>
    <w:p>
      <w:pPr>
        <w:pStyle w:val="ListParagraph"/>
        <w:numPr>
          <w:ilvl w:val="0"/>
          <w:numId w:val="2"/>
        </w:numPr>
        <w:spacing w:after="60" w:before="60" w:line="280"/>
      </w:pPr>
      <w:r>
        <w:rPr>
          <w:rFonts w:ascii="Calibri" w:cs="Calibri" w:eastAsia="Calibri" w:hAnsi="Calibri"/>
          <w:sz w:val="22"/>
          <w:szCs w:val="22"/>
        </w:rPr>
        <w:t xml:space="preserve">Trades: trade + valuation_date</w:t>
      </w:r>
    </w:p>
    <w:p>
      <w:pPr>
        <w:pStyle w:val="ListParagraph"/>
        <w:numPr>
          <w:ilvl w:val="0"/>
          <w:numId w:val="2"/>
        </w:numPr>
        <w:spacing w:after="60" w:before="60" w:line="280"/>
      </w:pPr>
      <w:r>
        <w:rPr>
          <w:rFonts w:ascii="Calibri" w:cs="Calibri" w:eastAsia="Calibri" w:hAnsi="Calibri"/>
          <w:sz w:val="22"/>
          <w:szCs w:val="22"/>
        </w:rPr>
        <w:t xml:space="preserve">Exposure: counterparty + netting_set + time_bucket + scenario + valuation_date</w:t>
      </w:r>
    </w:p>
    <w:p>
      <w:pPr>
        <w:pStyle w:val="ListParagraph"/>
        <w:numPr>
          <w:ilvl w:val="0"/>
          <w:numId w:val="2"/>
        </w:numPr>
        <w:spacing w:after="60" w:before="60" w:line="280"/>
      </w:pPr>
      <w:r>
        <w:rPr>
          <w:rFonts w:ascii="Calibri" w:cs="Calibri" w:eastAsia="Calibri" w:hAnsi="Calibri"/>
          <w:sz w:val="22"/>
          <w:szCs w:val="22"/>
        </w:rPr>
        <w:t xml:space="preserve">Sensitivities: trade + risk_factor + tenor + valuation_date</w:t>
      </w:r>
    </w:p>
    <w:p>
      <w:pPr>
        <w:pStyle w:val="ListParagraph"/>
        <w:numPr>
          <w:ilvl w:val="0"/>
          <w:numId w:val="2"/>
        </w:numPr>
        <w:spacing w:after="60" w:before="60" w:line="280"/>
      </w:pPr>
      <w:r>
        <w:rPr>
          <w:rFonts w:ascii="Calibri" w:cs="Calibri" w:eastAsia="Calibri" w:hAnsi="Calibri"/>
          <w:sz w:val="22"/>
          <w:szCs w:val="22"/>
        </w:rPr>
        <w:t xml:space="preserve">Collateral: counterparty + agreement + collateral_type + as_of_date</w:t>
      </w:r>
    </w:p>
    <w:p>
      <w:pPr>
        <w:spacing w:after="100" w:before="100" w:line="300"/>
      </w:pPr>
      <w:r>
        <w:rPr>
          <w:rFonts w:ascii="Calibri" w:cs="Calibri" w:eastAsia="Calibri" w:hAnsi="Calibri"/>
          <w:sz w:val="22"/>
          <w:szCs w:val="22"/>
        </w:rPr>
        <w:t xml:space="preserve">A single wide table forces one level of detail. Choosing trade-level duplicates exposure across every trade in a netting set. Choosing netting-set-level loses trade and sensitivity detail. Choosing counterparty-level becomes a summary, with no drill-down.</w:t>
      </w:r>
    </w:p>
    <w:p>
      <w:pPr>
        <w:spacing w:after="100" w:before="100" w:line="300"/>
      </w:pPr>
      <w:r>
        <w:rPr>
          <w:rFonts w:ascii="Calibri" w:cs="Calibri" w:eastAsia="Calibri" w:hAnsi="Calibri"/>
          <w:sz w:val="22"/>
          <w:szCs w:val="22"/>
        </w:rPr>
        <w:t xml:space="preserve">A layered set of datasets keeps each fact at its natural level.</w:t>
      </w:r>
    </w:p>
    <w:p>
      <w:pPr>
        <w:pStyle w:val="Heading2"/>
        <w:spacing w:after="160" w:before="280"/>
      </w:pPr>
      <w:r>
        <w:rPr>
          <w:rFonts w:ascii="Calibri" w:cs="Calibri" w:eastAsia="Calibri" w:hAnsi="Calibri"/>
          <w:b/>
          <w:bCs/>
          <w:sz w:val="28"/>
          <w:szCs w:val="28"/>
        </w:rPr>
        <w:t xml:space="preserve">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w:t>
            </w:r>
          </w:p>
        </w:tc>
        <w:tc>
          <w:tcPr>
            <w:tcW w:type="dxa" w:w="30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Product(s)</w:t>
            </w:r>
          </w:p>
        </w:tc>
        <w:tc>
          <w:tcPr>
            <w:tcW w:type="dxa" w:w="49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Level of detail (one row per…)</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 1</w:t>
            </w:r>
          </w:p>
        </w:tc>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cp_risk_summary</w:t>
            </w:r>
          </w:p>
        </w:tc>
        <w:tc>
          <w:tcPr>
            <w:tcW w:type="dxa" w:w="4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counterparty + valuation_date</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 2</w:t>
            </w:r>
          </w:p>
        </w:tc>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fact_trade</w:t>
            </w:r>
          </w:p>
        </w:tc>
        <w:tc>
          <w:tcPr>
            <w:tcW w:type="dxa" w:w="4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trade + valuation_date</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
            </w:r>
          </w:p>
        </w:tc>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fact_exposure</w:t>
            </w:r>
          </w:p>
        </w:tc>
        <w:tc>
          <w:tcPr>
            <w:tcW w:type="dxa" w:w="4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counterparty + netting_set + time_bucket + scenario + valuation_date</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
            </w:r>
          </w:p>
        </w:tc>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fact_mtm</w:t>
            </w:r>
          </w:p>
        </w:tc>
        <w:tc>
          <w:tcPr>
            <w:tcW w:type="dxa" w:w="4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trade + valuation_date</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
            </w:r>
          </w:p>
        </w:tc>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fact_sensitivities</w:t>
            </w:r>
          </w:p>
        </w:tc>
        <w:tc>
          <w:tcPr>
            <w:tcW w:type="dxa" w:w="4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trade + risk_factor + tenor + valuation_date</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
            </w:r>
          </w:p>
        </w:tc>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fact_collateral</w:t>
            </w:r>
          </w:p>
        </w:tc>
        <w:tc>
          <w:tcPr>
            <w:tcW w:type="dxa" w:w="4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counterparty + agreement + collateral_type + as_of_date</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
            </w:r>
          </w:p>
        </w:tc>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fact_stress</w:t>
            </w:r>
          </w:p>
        </w:tc>
        <w:tc>
          <w:tcPr>
            <w:tcW w:type="dxa" w:w="4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netting_set + scenario + time_bucket + valuation_date</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
            </w:r>
          </w:p>
        </w:tc>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fact_limits</w:t>
            </w:r>
          </w:p>
        </w:tc>
        <w:tc>
          <w:tcPr>
            <w:tcW w:type="dxa" w:w="4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counterparty + facility + limit_type + effective_date</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 3</w:t>
            </w:r>
          </w:p>
        </w:tc>
        <w:tc>
          <w:tcPr>
            <w:tcW w:type="dxa" w:w="30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BI tool orchestration</w:t>
            </w:r>
          </w:p>
        </w:tc>
        <w:tc>
          <w:tcPr>
            <w:tcW w:type="dxa" w:w="4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n/a</w:t>
            </w:r>
          </w:p>
        </w:tc>
      </w:tr>
    </w:tbl>
    <w:p>
      <w:pPr>
        <w:spacing w:after="100" w:before="100" w:line="300"/>
      </w:pPr>
      <w:r>
        <w:rPr>
          <w:rFonts w:ascii="Calibri" w:cs="Calibri" w:eastAsia="Calibri" w:hAnsi="Calibri"/>
          <w:sz w:val="22"/>
          <w:szCs w:val="22"/>
        </w:rPr>
        <w:t xml:space="preserve">Note: fact_exposure and fact_stress share the netting_set + scenario + time_bucket grain, so they can be combined directly. Other Layer 2 facts sit at different grains (trade-level, agreement-level) and combine through the semantic layer rather than by direct join.</w:t>
      </w:r>
    </w:p>
    <w:p>
      <w:pPr>
        <w:pStyle w:val="Heading2"/>
        <w:spacing w:after="160" w:before="280"/>
      </w:pPr>
      <w:r>
        <w:rPr>
          <w:rFonts w:ascii="Calibri" w:cs="Calibri" w:eastAsia="Calibri" w:hAnsi="Calibri"/>
          <w:b/>
          <w:bCs/>
          <w:sz w:val="28"/>
          <w:szCs w:val="28"/>
        </w:rPr>
        <w:t xml:space="preserve">How the layers serve a consumer query</w:t>
      </w:r>
    </w:p>
    <w:p>
      <w:pPr>
        <w:spacing w:after="100" w:before="100" w:line="300"/>
      </w:pPr>
      <w:r>
        <w:rPr>
          <w:rFonts w:ascii="Calibri" w:cs="Calibri" w:eastAsia="Calibri" w:hAnsi="Calibri"/>
          <w:sz w:val="22"/>
          <w:szCs w:val="22"/>
        </w:rPr>
        <w:t xml:space="preserve">The consumer types a counterparty name. The BI tool:</w:t>
      </w:r>
    </w:p>
    <w:p>
      <w:pPr>
        <w:pStyle w:val="ListParagraph"/>
        <w:numPr>
          <w:ilvl w:val="0"/>
          <w:numId w:val="2"/>
        </w:numPr>
        <w:spacing w:after="60" w:before="60" w:line="280"/>
      </w:pPr>
      <w:r>
        <w:rPr>
          <w:rFonts w:ascii="Calibri" w:cs="Calibri" w:eastAsia="Calibri" w:hAnsi="Calibri"/>
          <w:sz w:val="22"/>
          <w:szCs w:val="22"/>
        </w:rPr>
        <w:t xml:space="preserve">Loads cp_risk_summary for that counterparty (Layer 1) — instant; populates the summary panel</w:t>
      </w:r>
    </w:p>
    <w:p>
      <w:pPr>
        <w:pStyle w:val="ListParagraph"/>
        <w:numPr>
          <w:ilvl w:val="0"/>
          <w:numId w:val="2"/>
        </w:numPr>
        <w:spacing w:after="60" w:before="60" w:line="280"/>
      </w:pPr>
      <w:r>
        <w:rPr>
          <w:rFonts w:ascii="Calibri" w:cs="Calibri" w:eastAsia="Calibri" w:hAnsi="Calibri"/>
          <w:sz w:val="22"/>
          <w:szCs w:val="22"/>
        </w:rPr>
        <w:t xml:space="preserve">Renders drill-down tabs (Trades / Exposure / Sensitivities / Collateral / Stress / Limits) — initially empty</w:t>
      </w:r>
    </w:p>
    <w:p>
      <w:pPr>
        <w:pStyle w:val="ListParagraph"/>
        <w:numPr>
          <w:ilvl w:val="0"/>
          <w:numId w:val="2"/>
        </w:numPr>
        <w:spacing w:after="60" w:before="60" w:line="280"/>
      </w:pPr>
      <w:r>
        <w:rPr>
          <w:rFonts w:ascii="Calibri" w:cs="Calibri" w:eastAsia="Calibri" w:hAnsi="Calibri"/>
          <w:sz w:val="22"/>
          <w:szCs w:val="22"/>
        </w:rPr>
        <w:t xml:space="preserve">When a tab is opened, queries the corresponding Layer 2 product, filtered by counterparty</w:t>
      </w:r>
    </w:p>
    <w:p>
      <w:pPr>
        <w:pStyle w:val="ListParagraph"/>
        <w:numPr>
          <w:ilvl w:val="0"/>
          <w:numId w:val="2"/>
        </w:numPr>
        <w:spacing w:after="60" w:before="60" w:line="280"/>
      </w:pPr>
      <w:r>
        <w:rPr>
          <w:rFonts w:ascii="Calibri" w:cs="Calibri" w:eastAsia="Calibri" w:hAnsi="Calibri"/>
          <w:sz w:val="22"/>
          <w:szCs w:val="22"/>
        </w:rPr>
        <w:t xml:space="preserve">Each tab respects the level of detail of its source product</w:t>
      </w:r>
    </w:p>
    <w:p>
      <w:pPr>
        <w:pStyle w:val="Heading2"/>
        <w:spacing w:after="160" w:before="280"/>
      </w:pPr>
      <w:r>
        <w:rPr>
          <w:rFonts w:ascii="Calibri" w:cs="Calibri" w:eastAsia="Calibri" w:hAnsi="Calibri"/>
          <w:b/>
          <w:bCs/>
          <w:sz w:val="28"/>
          <w:szCs w:val="28"/>
        </w:rPr>
        <w:t xml:space="preserve">Example queries</w:t>
      </w:r>
    </w:p>
    <w:p>
      <w:pPr>
        <w:spacing w:after="100" w:before="100" w:line="300"/>
      </w:pPr>
      <w:r>
        <w:rPr>
          <w:rFonts w:ascii="Calibri" w:cs="Calibri" w:eastAsia="Calibri" w:hAnsi="Calibri"/>
          <w:sz w:val="22"/>
          <w:szCs w:val="22"/>
        </w:rPr>
        <w:t xml:space="preserve">Counterparty PFE from Layer 1:</w:t>
      </w:r>
    </w:p>
    <w:p>
      <w:pPr>
        <w:shd w:fill="F7F7F7" w:color="auto" w:val="clear"/>
        <w:spacing w:after="100" w:before="100" w:line="260"/>
        <w:ind w:left="200"/>
      </w:pPr>
      <w:r>
        <w:rPr>
          <w:rFonts w:ascii="Consolas" w:cs="Consolas" w:eastAsia="Consolas" w:hAnsi="Consolas"/>
          <w:sz w:val="18"/>
          <w:szCs w:val="18"/>
        </w:rPr>
        <w:t xml:space="preserve">SELECT pfe FROM riskwh.gold.cp_risk_summary
WHERE counterparty_id = 'CP000123' AND valuation_date = '2026-05-04';</w:t>
      </w:r>
    </w:p>
    <w:p>
      <w:pPr>
        <w:spacing w:after="100" w:before="100" w:line="300"/>
      </w:pPr>
      <w:r>
        <w:rPr>
          <w:rFonts w:ascii="Calibri" w:cs="Calibri" w:eastAsia="Calibri" w:hAnsi="Calibri"/>
          <w:sz w:val="22"/>
          <w:szCs w:val="22"/>
        </w:rPr>
        <w:t xml:space="preserve">Counterparty collateral from Layer 2 (preserving IA / VM / IM split):</w:t>
      </w:r>
    </w:p>
    <w:p>
      <w:pPr>
        <w:shd w:fill="F7F7F7" w:color="auto" w:val="clear"/>
        <w:spacing w:after="100" w:before="100" w:line="260"/>
        <w:ind w:left="200"/>
      </w:pPr>
      <w:r>
        <w:rPr>
          <w:rFonts w:ascii="Consolas" w:cs="Consolas" w:eastAsia="Consolas" w:hAnsi="Consolas"/>
          <w:sz w:val="18"/>
          <w:szCs w:val="18"/>
        </w:rPr>
        <w:t xml:space="preserve">SELECT agreement_id, collateral_type, SUM(amount) AS amt
FROM riskwh.gold.fact_collateral
WHERE counterparty_id = 'CP000123' AND as_of_date = '2026-05-04'
GROUP BY agreement_id, collateral_type;</w:t>
      </w:r>
    </w:p>
    <w:p>
      <w:pPr>
        <w:spacing w:after="100" w:before="100" w:line="300"/>
      </w:pPr>
      <w:r>
        <w:rPr>
          <w:rFonts w:ascii="Calibri" w:cs="Calibri" w:eastAsia="Calibri" w:hAnsi="Calibri"/>
          <w:sz w:val="22"/>
          <w:szCs w:val="22"/>
        </w:rPr>
        <w:t xml:space="preserve">CS01 by tenor from Layer 2:</w:t>
      </w:r>
    </w:p>
    <w:p>
      <w:pPr>
        <w:shd w:fill="F7F7F7" w:color="auto" w:val="clear"/>
        <w:spacing w:after="100" w:before="100" w:line="260"/>
        <w:ind w:left="200"/>
      </w:pPr>
      <w:r>
        <w:rPr>
          <w:rFonts w:ascii="Consolas" w:cs="Consolas" w:eastAsia="Consolas" w:hAnsi="Consolas"/>
          <w:sz w:val="18"/>
          <w:szCs w:val="18"/>
        </w:rPr>
        <w:t xml:space="preserve">SELECT tenor, SUM(cs01) AS cs01_total
FROM riskwh.gold.fact_sensitivities
WHERE counterparty_id = 'CP000123' AND valuation_date = '2026-05-04'
GROUP BY tenor;</w:t>
      </w:r>
    </w:p>
    <w:p>
      <w:pPr>
        <w:spacing w:after="100" w:before="100" w:line="300"/>
      </w:pPr>
      <w:r>
        <w:rPr>
          <w:rFonts w:ascii="Calibri" w:cs="Calibri" w:eastAsia="Calibri" w:hAnsi="Calibri"/>
          <w:sz w:val="22"/>
          <w:szCs w:val="22"/>
        </w:rPr>
        <w:t xml:space="preserve">The same pattern applies to other 360-style products: agreement 360, portfolio 360, and so on.</w:t>
      </w:r>
    </w:p>
    <w:p>
      <w:r>
        <w:br w:type="page"/>
      </w:r>
    </w:p>
    <w:p>
      <w:pPr>
        <w:pStyle w:val="Heading1"/>
        <w:spacing w:after="200" w:before="360"/>
      </w:pPr>
      <w:r>
        <w:rPr>
          <w:rFonts w:ascii="Calibri" w:cs="Calibri" w:eastAsia="Calibri" w:hAnsi="Calibri"/>
          <w:b/>
          <w:bCs/>
          <w:sz w:val="36"/>
          <w:szCs w:val="36"/>
        </w:rPr>
        <w:t xml:space="preserve">PAGE: 5. From Risk Reports to Governed Data Products</w:t>
      </w:r>
    </w:p>
    <w:p>
      <w:pPr>
        <w:pBdr>
          <w:left w:val="single" w:color="B0B0B0" w:sz="18" w:space="12"/>
        </w:pBdr>
        <w:spacing w:after="200" w:before="80" w:line="300"/>
        <w:ind w:left="200"/>
      </w:pPr>
      <w:r>
        <w:rPr>
          <w:rFonts w:ascii="Calibri" w:cs="Calibri" w:eastAsia="Calibri" w:hAnsi="Calibri"/>
          <w:i/>
          <w:iCs/>
          <w:color w:val="555555"/>
          <w:sz w:val="22"/>
          <w:szCs w:val="22"/>
        </w:rPr>
        <w:t xml:space="preserve">Many risk reports today already drive real value. Credit Ops uses them to advise the Business; teams have built workflows around them; institutional knowledge of what the Business needs is embedded in their content. This page describes how an existing report formalises into a governed data product in the Risk Warehouse, without disrupting current consumers.</w:t>
      </w:r>
    </w:p>
    <w:p>
      <w:pPr>
        <w:pStyle w:val="Heading2"/>
        <w:spacing w:after="160" w:before="280"/>
      </w:pPr>
      <w:r>
        <w:rPr>
          <w:rFonts w:ascii="Calibri" w:cs="Calibri" w:eastAsia="Calibri" w:hAnsi="Calibri"/>
          <w:b/>
          <w:bCs/>
          <w:sz w:val="28"/>
          <w:szCs w:val="28"/>
        </w:rPr>
        <w:t xml:space="preserve">Why this matters</w:t>
      </w:r>
    </w:p>
    <w:p>
      <w:pPr>
        <w:spacing w:after="100" w:before="100" w:line="300"/>
      </w:pPr>
      <w:r>
        <w:rPr>
          <w:rFonts w:ascii="Calibri" w:cs="Calibri" w:eastAsia="Calibri" w:hAnsi="Calibri"/>
          <w:sz w:val="22"/>
          <w:szCs w:val="22"/>
        </w:rPr>
        <w:t xml:space="preserve">Not every dataset in the Risk Warehouse will be built from scratch. Many will start as existing reports — already curated, already trusted, already in use. The 6-stage Risk Data Journey on the Architecture &amp; Design page describes the capability progression. This page describes a practical entry point into that progression: take a report that already works, formalise it, and make it a reusable governed data product.</w:t>
      </w:r>
    </w:p>
    <w:p>
      <w:pPr>
        <w:spacing w:after="100" w:before="100" w:line="300"/>
      </w:pPr>
      <w:r>
        <w:rPr>
          <w:rFonts w:ascii="Calibri" w:cs="Calibri" w:eastAsia="Calibri" w:hAnsi="Calibri"/>
          <w:sz w:val="22"/>
          <w:szCs w:val="22"/>
        </w:rPr>
        <w:t xml:space="preserve">Promotion is not a rewrite. The application keeps producing what it produces today. What is added is the description, the metadata, the contract, and the registration in the warehouse. Consumers who depend on the report today are not disrupted.</w:t>
      </w:r>
    </w:p>
    <w:p>
      <w:pPr>
        <w:pStyle w:val="Heading2"/>
        <w:spacing w:after="160" w:before="280"/>
      </w:pPr>
      <w:r>
        <w:rPr>
          <w:rFonts w:ascii="Calibri" w:cs="Calibri" w:eastAsia="Calibri" w:hAnsi="Calibri"/>
          <w:b/>
          <w:bCs/>
          <w:sz w:val="28"/>
          <w:szCs w:val="28"/>
        </w:rPr>
        <w:t xml:space="preserve">What changes when a report becomes a data product</w:t>
      </w:r>
    </w:p>
    <w:p>
      <w:pPr>
        <w:spacing w:after="100" w:before="100" w:line="300"/>
      </w:pPr>
      <w:r>
        <w:rPr>
          <w:rFonts w:ascii="Calibri" w:cs="Calibri" w:eastAsia="Calibri" w:hAnsi="Calibri"/>
          <w:sz w:val="22"/>
          <w:szCs w:val="22"/>
        </w:rPr>
        <w:t xml:space="preserve">Same content. Different consumer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Aspect</w:t>
            </w:r>
          </w:p>
        </w:tc>
        <w:tc>
          <w:tcPr>
            <w:tcW w:type="dxa" w:w="37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Report today</w:t>
            </w:r>
          </w:p>
        </w:tc>
        <w:tc>
          <w:tcPr>
            <w:tcW w:type="dxa" w:w="37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Data product tomorrow</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Discoverability</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Found by knowing the team that produces it, or by being on a distribution list</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Searchable in Unity Catalog and Collibra; visible to anyone with access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Definition</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Column meaning often implicit; defined informally in email or readme</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Column-level definitions in the contract; readable without asking the producer</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Ownership</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Producing team owns the report; ownership of definitions sometimes unclear</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Business owner (PG Leader) and technical owner (App team or DD) named in the contract</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Stability</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Changes happen; consumers find out when their downstream breaks</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Change policy declared (additive 14d, breaking 60d, deprecation 90d); notice goes through the change log</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Aggregation rules</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Embedded in the report's SQL; consumers re-implement them when slicing differently</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Declared in the semantic layer; applied automatically wherever the data is queried</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Consumption</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Consumed as a file or scheduled email; new questions require a new report</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Queryable in the warehouse; new groupings served on demand without producing a new report</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SLA</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Often informal; "by the start of business"</w:t>
            </w:r>
          </w:p>
        </w:tc>
        <w:tc>
          <w:tcPr>
            <w:tcW w:type="dxa" w:w="37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Declared SLA with breach notification (e.g. daily by 06:00 EST, alert at 07:00)</w:t>
            </w:r>
          </w:p>
        </w:tc>
      </w:tr>
    </w:tbl>
    <w:p>
      <w:pPr>
        <w:pStyle w:val="Heading2"/>
        <w:spacing w:after="160" w:before="280"/>
      </w:pPr>
      <w:r>
        <w:rPr>
          <w:rFonts w:ascii="Calibri" w:cs="Calibri" w:eastAsia="Calibri" w:hAnsi="Calibri"/>
          <w:b/>
          <w:bCs/>
          <w:sz w:val="28"/>
          <w:szCs w:val="28"/>
        </w:rPr>
        <w:t xml:space="preserve">What the application contributes during promotion</w:t>
      </w:r>
    </w:p>
    <w:p>
      <w:pPr>
        <w:spacing w:after="100" w:before="100" w:line="300"/>
      </w:pPr>
      <w:r>
        <w:rPr>
          <w:rFonts w:ascii="Calibri" w:cs="Calibri" w:eastAsia="Calibri" w:hAnsi="Calibri"/>
          <w:sz w:val="22"/>
          <w:szCs w:val="22"/>
        </w:rPr>
        <w:t xml:space="preserve">Promotion is a metadata exercise, not a data engineering exercise. The application team contributes four kinds of information.</w:t>
      </w:r>
    </w:p>
    <w:p>
      <w:pPr>
        <w:pStyle w:val="Heading3"/>
        <w:spacing w:after="140" w:before="220"/>
      </w:pPr>
      <w:r>
        <w:rPr>
          <w:rFonts w:ascii="Calibri" w:cs="Calibri" w:eastAsia="Calibri" w:hAnsi="Calibri"/>
          <w:b/>
          <w:bCs/>
          <w:sz w:val="24"/>
          <w:szCs w:val="24"/>
        </w:rPr>
        <w:t xml:space="preserve">1. The metadata wrapper</w:t>
      </w:r>
    </w:p>
    <w:p>
      <w:pPr>
        <w:pStyle w:val="ListParagraph"/>
        <w:numPr>
          <w:ilvl w:val="0"/>
          <w:numId w:val="2"/>
        </w:numPr>
        <w:spacing w:after="60" w:before="60" w:line="280"/>
      </w:pPr>
      <w:r>
        <w:rPr>
          <w:rFonts w:ascii="Calibri" w:cs="Calibri" w:eastAsia="Calibri" w:hAnsi="Calibri"/>
          <w:sz w:val="22"/>
          <w:szCs w:val="22"/>
        </w:rPr>
        <w:t xml:space="preserve">Who originally requested the report and what business question it answers</w:t>
      </w:r>
    </w:p>
    <w:p>
      <w:pPr>
        <w:pStyle w:val="ListParagraph"/>
        <w:numPr>
          <w:ilvl w:val="0"/>
          <w:numId w:val="2"/>
        </w:numPr>
        <w:spacing w:after="60" w:before="60" w:line="280"/>
      </w:pPr>
      <w:r>
        <w:rPr>
          <w:rFonts w:ascii="Calibri" w:cs="Calibri" w:eastAsia="Calibri" w:hAnsi="Calibri"/>
          <w:sz w:val="22"/>
          <w:szCs w:val="22"/>
        </w:rPr>
        <w:t xml:space="preserve">Who consumes the report today (teams, roles)</w:t>
      </w:r>
    </w:p>
    <w:p>
      <w:pPr>
        <w:pStyle w:val="ListParagraph"/>
        <w:numPr>
          <w:ilvl w:val="0"/>
          <w:numId w:val="2"/>
        </w:numPr>
        <w:spacing w:after="60" w:before="60" w:line="280"/>
      </w:pPr>
      <w:r>
        <w:rPr>
          <w:rFonts w:ascii="Calibri" w:cs="Calibri" w:eastAsia="Calibri" w:hAnsi="Calibri"/>
          <w:sz w:val="22"/>
          <w:szCs w:val="22"/>
        </w:rPr>
        <w:t xml:space="preserve">Refresh frequency and the current SLA</w:t>
      </w:r>
    </w:p>
    <w:p>
      <w:pPr>
        <w:pStyle w:val="ListParagraph"/>
        <w:numPr>
          <w:ilvl w:val="0"/>
          <w:numId w:val="2"/>
        </w:numPr>
        <w:spacing w:after="60" w:before="60" w:line="280"/>
      </w:pPr>
      <w:r>
        <w:rPr>
          <w:rFonts w:ascii="Calibri" w:cs="Calibri" w:eastAsia="Calibri" w:hAnsi="Calibri"/>
          <w:sz w:val="22"/>
          <w:szCs w:val="22"/>
        </w:rPr>
        <w:t xml:space="preserve">Distribution method today (email, SFTP, dashboard, file drop)</w:t>
      </w:r>
    </w:p>
    <w:p>
      <w:pPr>
        <w:pStyle w:val="ListParagraph"/>
        <w:numPr>
          <w:ilvl w:val="0"/>
          <w:numId w:val="2"/>
        </w:numPr>
        <w:spacing w:after="60" w:before="60" w:line="280"/>
      </w:pPr>
      <w:r>
        <w:rPr>
          <w:rFonts w:ascii="Calibri" w:cs="Calibri" w:eastAsia="Calibri" w:hAnsi="Calibri"/>
          <w:sz w:val="22"/>
          <w:szCs w:val="22"/>
        </w:rPr>
        <w:t xml:space="preserve">Any compliance or regulatory dependencies on the report's current form</w:t>
      </w:r>
    </w:p>
    <w:p>
      <w:pPr>
        <w:pStyle w:val="Heading3"/>
        <w:spacing w:after="140" w:before="220"/>
      </w:pPr>
      <w:r>
        <w:rPr>
          <w:rFonts w:ascii="Calibri" w:cs="Calibri" w:eastAsia="Calibri" w:hAnsi="Calibri"/>
          <w:b/>
          <w:bCs/>
          <w:sz w:val="24"/>
          <w:szCs w:val="24"/>
        </w:rPr>
        <w:t xml:space="preserve">2. The content description</w:t>
      </w:r>
    </w:p>
    <w:p>
      <w:pPr>
        <w:pStyle w:val="ListParagraph"/>
        <w:numPr>
          <w:ilvl w:val="0"/>
          <w:numId w:val="2"/>
        </w:numPr>
        <w:spacing w:after="60" w:before="60" w:line="280"/>
      </w:pPr>
      <w:r>
        <w:rPr>
          <w:rFonts w:ascii="Calibri" w:cs="Calibri" w:eastAsia="Calibri" w:hAnsi="Calibri"/>
          <w:sz w:val="22"/>
          <w:szCs w:val="22"/>
        </w:rPr>
        <w:t xml:space="preserve">Column-level definitions in business language — what each column means, not just the technical name</w:t>
      </w:r>
    </w:p>
    <w:p>
      <w:pPr>
        <w:pStyle w:val="ListParagraph"/>
        <w:numPr>
          <w:ilvl w:val="0"/>
          <w:numId w:val="2"/>
        </w:numPr>
        <w:spacing w:after="60" w:before="60" w:line="280"/>
      </w:pPr>
      <w:r>
        <w:rPr>
          <w:rFonts w:ascii="Calibri" w:cs="Calibri" w:eastAsia="Calibri" w:hAnsi="Calibri"/>
          <w:sz w:val="22"/>
          <w:szCs w:val="22"/>
        </w:rPr>
        <w:t xml:space="preserve">The level of detail — one row represents what? (e.g. one row per counterparty per business date)</w:t>
      </w:r>
    </w:p>
    <w:p>
      <w:pPr>
        <w:pStyle w:val="ListParagraph"/>
        <w:numPr>
          <w:ilvl w:val="0"/>
          <w:numId w:val="2"/>
        </w:numPr>
        <w:spacing w:after="60" w:before="60" w:line="280"/>
      </w:pPr>
      <w:r>
        <w:rPr>
          <w:rFonts w:ascii="Calibri" w:cs="Calibri" w:eastAsia="Calibri" w:hAnsi="Calibri"/>
          <w:sz w:val="22"/>
          <w:szCs w:val="22"/>
        </w:rPr>
        <w:t xml:space="preserve">The source lineage — which app calculations and which underlying tables produce these numbers</w:t>
      </w:r>
    </w:p>
    <w:p>
      <w:pPr>
        <w:pStyle w:val="ListParagraph"/>
        <w:numPr>
          <w:ilvl w:val="0"/>
          <w:numId w:val="2"/>
        </w:numPr>
        <w:spacing w:after="60" w:before="60" w:line="280"/>
      </w:pPr>
      <w:r>
        <w:rPr>
          <w:rFonts w:ascii="Calibri" w:cs="Calibri" w:eastAsia="Calibri" w:hAnsi="Calibri"/>
          <w:sz w:val="22"/>
          <w:szCs w:val="22"/>
        </w:rPr>
        <w:t xml:space="preserve">Filters applied to the underlying data before reporting (asset class, region, currency, status, etc.)</w:t>
      </w:r>
    </w:p>
    <w:p>
      <w:pPr>
        <w:pStyle w:val="ListParagraph"/>
        <w:numPr>
          <w:ilvl w:val="0"/>
          <w:numId w:val="2"/>
        </w:numPr>
        <w:spacing w:after="60" w:before="60" w:line="280"/>
      </w:pPr>
      <w:r>
        <w:rPr>
          <w:rFonts w:ascii="Calibri" w:cs="Calibri" w:eastAsia="Calibri" w:hAnsi="Calibri"/>
          <w:sz w:val="22"/>
          <w:szCs w:val="22"/>
        </w:rPr>
        <w:t xml:space="preserve">Reference data joined into the report (counterparty master, security master, agreement, facility, etc.)</w:t>
      </w:r>
    </w:p>
    <w:p>
      <w:pPr>
        <w:pStyle w:val="Heading3"/>
        <w:spacing w:after="140" w:before="220"/>
      </w:pPr>
      <w:r>
        <w:rPr>
          <w:rFonts w:ascii="Calibri" w:cs="Calibri" w:eastAsia="Calibri" w:hAnsi="Calibri"/>
          <w:b/>
          <w:bCs/>
          <w:sz w:val="24"/>
          <w:szCs w:val="24"/>
        </w:rPr>
        <w:t xml:space="preserve">3. The semantic content</w:t>
      </w:r>
    </w:p>
    <w:p>
      <w:pPr>
        <w:pStyle w:val="ListParagraph"/>
        <w:numPr>
          <w:ilvl w:val="0"/>
          <w:numId w:val="2"/>
        </w:numPr>
        <w:spacing w:after="60" w:before="60" w:line="280"/>
      </w:pPr>
      <w:r>
        <w:rPr>
          <w:rFonts w:ascii="Calibri" w:cs="Calibri" w:eastAsia="Calibri" w:hAnsi="Calibri"/>
          <w:sz w:val="22"/>
          <w:szCs w:val="22"/>
        </w:rPr>
        <w:t xml:space="preserve">Aggregations and roll-ups baked into the report (sum, count, max, percentile, weighted average)</w:t>
      </w:r>
    </w:p>
    <w:p>
      <w:pPr>
        <w:pStyle w:val="ListParagraph"/>
        <w:numPr>
          <w:ilvl w:val="0"/>
          <w:numId w:val="2"/>
        </w:numPr>
        <w:spacing w:after="60" w:before="60" w:line="280"/>
      </w:pPr>
      <w:r>
        <w:rPr>
          <w:rFonts w:ascii="Calibri" w:cs="Calibri" w:eastAsia="Calibri" w:hAnsi="Calibri"/>
          <w:sz w:val="22"/>
          <w:szCs w:val="22"/>
        </w:rPr>
        <w:t xml:space="preserve">For each measure, whether it is additive, non-additive, or a percentile — and across which dimensions</w:t>
      </w:r>
    </w:p>
    <w:p>
      <w:pPr>
        <w:pStyle w:val="ListParagraph"/>
        <w:numPr>
          <w:ilvl w:val="0"/>
          <w:numId w:val="2"/>
        </w:numPr>
        <w:spacing w:after="60" w:before="60" w:line="280"/>
      </w:pPr>
      <w:r>
        <w:rPr>
          <w:rFonts w:ascii="Calibri" w:cs="Calibri" w:eastAsia="Calibri" w:hAnsi="Calibri"/>
          <w:sz w:val="22"/>
          <w:szCs w:val="22"/>
        </w:rPr>
        <w:t xml:space="preserve">Business rules embedded in the logic (e.g. "exclude pending trades", "net within netting set", "convert to USD at end-of-day rate")</w:t>
      </w:r>
    </w:p>
    <w:p>
      <w:pPr>
        <w:pStyle w:val="ListParagraph"/>
        <w:numPr>
          <w:ilvl w:val="0"/>
          <w:numId w:val="2"/>
        </w:numPr>
        <w:spacing w:after="60" w:before="60" w:line="280"/>
      </w:pPr>
      <w:r>
        <w:rPr>
          <w:rFonts w:ascii="Calibri" w:cs="Calibri" w:eastAsia="Calibri" w:hAnsi="Calibri"/>
          <w:sz w:val="22"/>
          <w:szCs w:val="22"/>
        </w:rPr>
        <w:t xml:space="preserve">Known limitations on how the numbers can be sliced — dimensions that should not be combined</w:t>
      </w:r>
    </w:p>
    <w:p>
      <w:pPr>
        <w:pStyle w:val="Heading3"/>
        <w:spacing w:after="140" w:before="220"/>
      </w:pPr>
      <w:r>
        <w:rPr>
          <w:rFonts w:ascii="Calibri" w:cs="Calibri" w:eastAsia="Calibri" w:hAnsi="Calibri"/>
          <w:b/>
          <w:bCs/>
          <w:sz w:val="24"/>
          <w:szCs w:val="24"/>
        </w:rPr>
        <w:t xml:space="preserve">4. Variants — multiple reports, same content</w:t>
      </w:r>
    </w:p>
    <w:p>
      <w:pPr>
        <w:spacing w:after="100" w:before="100" w:line="300"/>
      </w:pPr>
      <w:r>
        <w:rPr>
          <w:rFonts w:ascii="Calibri" w:cs="Calibri" w:eastAsia="Calibri" w:hAnsi="Calibri"/>
          <w:sz w:val="22"/>
          <w:szCs w:val="22"/>
        </w:rPr>
        <w:t xml:space="preserve">If the application produces several reports that show the same underlying numbers grouped by different dimensions — by counterparty, by desk, by region, by netting set — these are not several products. They are one data product served through multiple consumption views.</w:t>
      </w:r>
    </w:p>
    <w:p>
      <w:pPr>
        <w:spacing w:after="100" w:before="100" w:line="300"/>
      </w:pPr>
      <w:r>
        <w:rPr>
          <w:rFonts w:ascii="Calibri" w:cs="Calibri" w:eastAsia="Calibri" w:hAnsi="Calibri"/>
          <w:sz w:val="22"/>
          <w:szCs w:val="22"/>
        </w:rPr>
        <w:t xml:space="preserve">This is one of the strongest outcomes of promotion. Three reports with the same content and different groupings collapse into one governed data product. The semantic layer serves up the different groupings on demand. Report sprawl reduces; the governed surface area is smaller and easier to maintain.</w:t>
      </w:r>
    </w:p>
    <w:p>
      <w:pPr>
        <w:pStyle w:val="Heading2"/>
        <w:spacing w:after="160" w:before="280"/>
      </w:pPr>
      <w:r>
        <w:rPr>
          <w:rFonts w:ascii="Calibri" w:cs="Calibri" w:eastAsia="Calibri" w:hAnsi="Calibri"/>
          <w:b/>
          <w:bCs/>
          <w:sz w:val="28"/>
          <w:szCs w:val="28"/>
        </w:rPr>
        <w:t xml:space="preserve">Where promoted reports enter the journey</w:t>
      </w:r>
    </w:p>
    <w:p>
      <w:pPr>
        <w:spacing w:after="100" w:before="100" w:line="300"/>
      </w:pPr>
      <w:r>
        <w:rPr>
          <w:rFonts w:ascii="Calibri" w:cs="Calibri" w:eastAsia="Calibri" w:hAnsi="Calibri"/>
          <w:sz w:val="22"/>
          <w:szCs w:val="22"/>
        </w:rPr>
        <w:t xml:space="preserve">A promoted report does not start at Stage 1 of the Risk Data Journey. The data is already curated by virtue of being a working report. Promotion enters the journey at the stage that matches what the report already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If the report has...</w:t>
            </w:r>
          </w:p>
        </w:tc>
        <w:tc>
          <w:tcPr>
            <w:tcW w:type="dxa" w:w="54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It enters at...</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Stable shape and consistent content, but no formal documentation</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Stage 3 — Curated. Documentation of curation is added; the report is re-published into riskwh.</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above plus full metadata, ownership, SLA, change policy</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Stage 4 — Governed Data Product. The contract is added; UC tags applied; Collibra registration.</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above plus declared aggregation rules and business semantics</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Stage 5 — Declared Semantics. Aggregation behaviour is enforced wherever the data is queried.</w:t>
            </w:r>
          </w:p>
        </w:tc>
      </w:tr>
      <w:tr>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above plus consumption through BI with safe slicing</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Stage 6 — Analytics in BI. Consumers ask new questions through BI; no new report is produced.</w:t>
            </w:r>
          </w:p>
        </w:tc>
      </w:tr>
    </w:tbl>
    <w:p>
      <w:pPr>
        <w:spacing w:after="100" w:before="100" w:line="300"/>
      </w:pPr>
      <w:r>
        <w:rPr>
          <w:rFonts w:ascii="Calibri" w:cs="Calibri" w:eastAsia="Calibri" w:hAnsi="Calibri"/>
          <w:sz w:val="22"/>
          <w:szCs w:val="22"/>
        </w:rPr>
        <w:t xml:space="preserve">Most reports promote to Stage 4 first — that is where governance is established. Stages 5 and 6 follow as the semantic layer and BI integration are built out.</w:t>
      </w:r>
    </w:p>
    <w:p>
      <w:pPr>
        <w:pStyle w:val="Heading2"/>
        <w:spacing w:after="160" w:before="280"/>
      </w:pPr>
      <w:r>
        <w:rPr>
          <w:rFonts w:ascii="Calibri" w:cs="Calibri" w:eastAsia="Calibri" w:hAnsi="Calibri"/>
          <w:b/>
          <w:bCs/>
          <w:sz w:val="28"/>
          <w:szCs w:val="28"/>
        </w:rPr>
        <w:t xml:space="preserve">What does not change</w:t>
      </w:r>
    </w:p>
    <w:p>
      <w:pPr>
        <w:spacing w:after="100" w:before="100" w:line="300"/>
      </w:pPr>
      <w:r>
        <w:rPr>
          <w:rFonts w:ascii="Calibri" w:cs="Calibri" w:eastAsia="Calibri" w:hAnsi="Calibri"/>
          <w:sz w:val="22"/>
          <w:szCs w:val="22"/>
        </w:rPr>
        <w:t xml:space="preserve">Existing report consumers continue to receive their reports during and after promotion. The application keeps producing the report. Promotion does not break workflows that depend on the current form.</w:t>
      </w:r>
    </w:p>
    <w:p>
      <w:pPr>
        <w:spacing w:after="100" w:before="100" w:line="300"/>
      </w:pPr>
      <w:r>
        <w:rPr>
          <w:rFonts w:ascii="Calibri" w:cs="Calibri" w:eastAsia="Calibri" w:hAnsi="Calibri"/>
          <w:sz w:val="22"/>
          <w:szCs w:val="22"/>
        </w:rPr>
        <w:t xml:space="preserve">What changes is that the underlying data is now also queryable in riskwh, governed, and reusable. New use cases — different groupings, different time horizons, different combinations with other data products — can be served from the warehouse without producing yet another report. Consumers may move from receiving the report to querying the data product through BI; that move is voluntary.</w:t>
      </w:r>
    </w:p>
    <w:p>
      <w:pPr>
        <w:pStyle w:val="Heading2"/>
        <w:spacing w:after="160" w:before="280"/>
      </w:pPr>
      <w:r>
        <w:rPr>
          <w:rFonts w:ascii="Calibri" w:cs="Calibri" w:eastAsia="Calibri" w:hAnsi="Calibri"/>
          <w:b/>
          <w:bCs/>
          <w:sz w:val="28"/>
          <w:szCs w:val="28"/>
        </w:rPr>
        <w:t xml:space="preserve">How to start</w:t>
      </w:r>
    </w:p>
    <w:p>
      <w:pPr>
        <w:spacing w:after="100" w:before="100" w:line="300"/>
      </w:pPr>
      <w:r>
        <w:rPr>
          <w:rFonts w:ascii="Calibri" w:cs="Calibri" w:eastAsia="Calibri" w:hAnsi="Calibri"/>
          <w:sz w:val="22"/>
          <w:szCs w:val="22"/>
        </w:rPr>
        <w:t xml:space="preserve">Promotion begins with the Onboarding Form (Standards &amp; Artifacts Library §A) plus the report-promotion addendum (§F). The addendum captures the report-specific metadata: identity, current use, content description, aggregation and semantics, consumer impact during promotion.</w:t>
      </w:r>
    </w:p>
    <w:p>
      <w:pPr>
        <w:spacing w:after="100" w:before="100" w:line="300"/>
      </w:pPr>
      <w:r>
        <w:rPr>
          <w:rFonts w:ascii="Calibri" w:cs="Calibri" w:eastAsia="Calibri" w:hAnsi="Calibri"/>
          <w:sz w:val="22"/>
          <w:szCs w:val="22"/>
        </w:rPr>
        <w:t xml:space="preserve">Once the form is complete, Risk Data and the PG Leader review jointly. Variants are identified at this stage — multiple reports with shared content collapse into one product. The contract is then authored from the supplied metadata, the data product is registered in riskwh, and the current report continues unchanged during the transition.</w:t>
      </w:r>
    </w:p>
    <w:p>
      <w:r>
        <w:br w:type="page"/>
      </w:r>
    </w:p>
    <w:p>
      <w:pPr>
        <w:pStyle w:val="Heading1"/>
        <w:spacing w:after="200" w:before="360"/>
      </w:pPr>
      <w:r>
        <w:rPr>
          <w:rFonts w:ascii="Calibri" w:cs="Calibri" w:eastAsia="Calibri" w:hAnsi="Calibri"/>
          <w:b/>
          <w:bCs/>
          <w:sz w:val="36"/>
          <w:szCs w:val="36"/>
        </w:rPr>
        <w:t xml:space="preserve">PAGE: 6. Governance &amp; Cadence</w:t>
      </w:r>
    </w:p>
    <w:p>
      <w:pPr>
        <w:pBdr>
          <w:left w:val="single" w:color="B0B0B0" w:sz="18" w:space="12"/>
        </w:pBdr>
        <w:spacing w:after="200" w:before="80" w:line="300"/>
        <w:ind w:left="200"/>
      </w:pPr>
      <w:r>
        <w:rPr>
          <w:rFonts w:ascii="Calibri" w:cs="Calibri" w:eastAsia="Calibri" w:hAnsi="Calibri"/>
          <w:i/>
          <w:iCs/>
          <w:color w:val="555555"/>
          <w:sz w:val="22"/>
          <w:szCs w:val="22"/>
        </w:rPr>
        <w:t xml:space="preserve">Building and operating the analytics layer involves several teams — Risk Data, Product Group Leaders, App teams, CDO, and Enterprise Architecture. This page captures how those teams meet, how work is tracked, and how changes to standards and artifacts are managed.</w:t>
      </w:r>
    </w:p>
    <w:p>
      <w:pPr>
        <w:pStyle w:val="Heading2"/>
        <w:spacing w:after="160" w:before="280"/>
      </w:pPr>
      <w:r>
        <w:rPr>
          <w:rFonts w:ascii="Calibri" w:cs="Calibri" w:eastAsia="Calibri" w:hAnsi="Calibri"/>
          <w:b/>
          <w:bCs/>
          <w:sz w:val="28"/>
          <w:szCs w:val="28"/>
        </w:rPr>
        <w:t xml:space="preserve">Meeting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Cadence</w:t>
            </w:r>
          </w:p>
        </w:tc>
        <w:tc>
          <w:tcPr>
            <w:tcW w:type="dxa" w:w="396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Participants</w:t>
            </w:r>
          </w:p>
        </w:tc>
        <w:tc>
          <w:tcPr>
            <w:tcW w:type="dxa" w:w="36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Subject</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Daily (operational)</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 Data ↔ TDVIP / Infra (via Tech Lead)</w:t>
            </w:r>
          </w:p>
        </w:tc>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Working contact</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Weekly</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 Data ↔ Product Group Leaders</w:t>
            </w:r>
          </w:p>
        </w:tc>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needs, roster, dependencies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Weekly</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 ↔ Business</w:t>
            </w:r>
          </w:p>
        </w:tc>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Requirements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Bi-weekly</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 Data ↔ CDO / Enterprise Architecture</w:t>
            </w:r>
          </w:p>
        </w:tc>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Standards, templates, enterprise updates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As-needed</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 Data ↔ Tech Lead / Apps</w:t>
            </w:r>
          </w:p>
        </w:tc>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Per-product delivery</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As-needed</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 Data ↔ Business</w:t>
            </w:r>
          </w:p>
        </w:tc>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Path 1 work, semantic alignment</w:t>
            </w:r>
          </w:p>
        </w:tc>
      </w:tr>
    </w:tbl>
    <w:p>
      <w:pPr>
        <w:pStyle w:val="Heading2"/>
        <w:spacing w:after="160" w:before="280"/>
      </w:pPr>
      <w:r>
        <w:rPr>
          <w:rFonts w:ascii="Calibri" w:cs="Calibri" w:eastAsia="Calibri" w:hAnsi="Calibri"/>
          <w:b/>
          <w:bCs/>
          <w:sz w:val="28"/>
          <w:szCs w:val="28"/>
        </w:rPr>
        <w:t xml:space="preserve">Project roster</w:t>
      </w:r>
    </w:p>
    <w:p>
      <w:pPr>
        <w:spacing w:after="100" w:before="100" w:line="300"/>
      </w:pPr>
      <w:r>
        <w:rPr>
          <w:rFonts w:ascii="Calibri" w:cs="Calibri" w:eastAsia="Calibri" w:hAnsi="Calibri"/>
          <w:sz w:val="22"/>
          <w:szCs w:val="22"/>
        </w:rPr>
        <w:t xml:space="preserve">DRAFT v1</w:t>
      </w:r>
    </w:p>
    <w:p>
      <w:pPr>
        <w:spacing w:after="100" w:before="100" w:line="300"/>
      </w:pPr>
      <w:r>
        <w:rPr>
          <w:rFonts w:ascii="Calibri" w:cs="Calibri" w:eastAsia="Calibri" w:hAnsi="Calibri"/>
          <w:sz w:val="22"/>
          <w:szCs w:val="22"/>
        </w:rPr>
        <w:t xml:space="preserve">A single tracker of active asks. Reviewed weekly with PG Leaders, monthly with Risk leadership. The row below is illustrative; the live roster is maintained at [PASTE LINK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320"/>
        <w:gridCol w:w="720"/>
        <w:gridCol w:w="1080"/>
        <w:gridCol w:w="720"/>
        <w:gridCol w:w="1800"/>
        <w:gridCol w:w="1080"/>
        <w:gridCol w:w="1920"/>
      </w:tblGrid>
      <w:tr>
        <w:trPr>
          <w:tblHeader/>
        </w:trPr>
        <w:tc>
          <w:tcPr>
            <w:tcW w:type="dxa" w:w="7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ID</w:t>
            </w:r>
          </w:p>
        </w:tc>
        <w:tc>
          <w:tcPr>
            <w:tcW w:type="dxa" w:w="13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Requesting team</w:t>
            </w:r>
          </w:p>
        </w:tc>
        <w:tc>
          <w:tcPr>
            <w:tcW w:type="dxa" w:w="7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PG</w:t>
            </w:r>
          </w:p>
        </w:tc>
        <w:tc>
          <w:tcPr>
            <w:tcW w:type="dxa" w:w="10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Artifact</w:t>
            </w:r>
          </w:p>
        </w:tc>
        <w:tc>
          <w:tcPr>
            <w:tcW w:type="dxa" w:w="7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Stage</w:t>
            </w:r>
          </w:p>
        </w:tc>
        <w:tc>
          <w:tcPr>
            <w:tcW w:type="dxa" w:w="18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Dependencies</w:t>
            </w:r>
          </w:p>
        </w:tc>
        <w:tc>
          <w:tcPr>
            <w:tcW w:type="dxa" w:w="10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Target</w:t>
            </w:r>
          </w:p>
        </w:tc>
        <w:tc>
          <w:tcPr>
            <w:tcW w:type="dxa" w:w="19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Status</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001</w:t>
            </w:r>
          </w:p>
        </w:tc>
        <w:tc>
          <w:tcPr>
            <w:tcW w:type="dxa" w:w="1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example</w:t>
            </w:r>
          </w:p>
        </w:tc>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example</w:t>
            </w:r>
          </w:p>
        </w:tc>
        <w:tc>
          <w:tcPr>
            <w:tcW w:type="dxa" w:w="10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example</w:t>
            </w:r>
          </w:p>
        </w:tc>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4 → 5</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Contract sign-off</w:t>
            </w:r>
          </w:p>
        </w:tc>
        <w:tc>
          <w:tcPr>
            <w:tcW w:type="dxa" w:w="10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2026-Q3</w:t>
            </w:r>
          </w:p>
        </w:tc>
        <w:tc>
          <w:tcPr>
            <w:tcW w:type="dxa" w:w="19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IN-FLIGHT</w:t>
            </w:r>
          </w:p>
        </w:tc>
      </w:tr>
    </w:tbl>
    <w:p>
      <w:pPr>
        <w:spacing w:after="100" w:before="100" w:line="300"/>
      </w:pPr>
      <w:r>
        <w:rPr>
          <w:rFonts w:ascii="Calibri" w:cs="Calibri" w:eastAsia="Calibri" w:hAnsi="Calibri"/>
          <w:sz w:val="22"/>
          <w:szCs w:val="22"/>
        </w:rPr>
        <w:t xml:space="preserve">Status values: REQUESTED · PLANNED · IN-FLIGHT · BLOCKED · DONE · DEFERRED</w:t>
      </w:r>
    </w:p>
    <w:p>
      <w:pPr>
        <w:pStyle w:val="Heading2"/>
        <w:spacing w:after="160" w:before="280"/>
      </w:pPr>
      <w:r>
        <w:rPr>
          <w:rFonts w:ascii="Calibri" w:cs="Calibri" w:eastAsia="Calibri" w:hAnsi="Calibri"/>
          <w:b/>
          <w:bCs/>
          <w:sz w:val="28"/>
          <w:szCs w:val="28"/>
        </w:rPr>
        <w:t xml:space="preserve">Change management</w:t>
      </w:r>
    </w:p>
    <w:p>
      <w:pPr>
        <w:spacing w:after="100" w:before="100" w:line="300"/>
      </w:pPr>
      <w:r>
        <w:rPr>
          <w:rFonts w:ascii="Calibri" w:cs="Calibri" w:eastAsia="Calibri" w:hAnsi="Calibri"/>
          <w:sz w:val="22"/>
          <w:szCs w:val="22"/>
        </w:rPr>
        <w:t xml:space="preserve">DRAFT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1440"/>
        <w:gridCol w:w="3240"/>
      </w:tblGrid>
      <w:tr>
        <w:trPr>
          <w:tblHeader/>
        </w:trPr>
        <w:tc>
          <w:tcPr>
            <w:tcW w:type="dxa" w:w="144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Type</w:t>
            </w:r>
          </w:p>
        </w:tc>
        <w:tc>
          <w:tcPr>
            <w:tcW w:type="dxa" w:w="324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Examples</w:t>
            </w:r>
          </w:p>
        </w:tc>
        <w:tc>
          <w:tcPr>
            <w:tcW w:type="dxa" w:w="144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Notice</w:t>
            </w:r>
          </w:p>
        </w:tc>
        <w:tc>
          <w:tcPr>
            <w:tcW w:type="dxa" w:w="324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Approver</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Editorial</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Typo, link fix</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None</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Additive</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New optional tag, new template field</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14 days</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Substantive</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New required tag, change to onboarding form</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30 days</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 + PG Leader sign-off</w:t>
            </w:r>
          </w:p>
        </w:tc>
      </w:tr>
      <w:tr>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Breaking</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Change to schema standards, change to Unity Catalog tag taxonomy that affects existing products</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60 days</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 + CDO + PG Leader sign-off</w:t>
            </w:r>
          </w:p>
        </w:tc>
      </w:tr>
    </w:tbl>
    <w:p>
      <w:pPr>
        <w:pStyle w:val="Heading3"/>
        <w:spacing w:after="140" w:before="220"/>
      </w:pPr>
      <w:r>
        <w:rPr>
          <w:rFonts w:ascii="Calibri" w:cs="Calibri" w:eastAsia="Calibri" w:hAnsi="Calibri"/>
          <w:b/>
          <w:bCs/>
          <w:sz w:val="24"/>
          <w:szCs w:val="24"/>
        </w:rPr>
        <w:t xml:space="preserve">Workflow</w:t>
      </w:r>
    </w:p>
    <w:p>
      <w:pPr>
        <w:pStyle w:val="ListParagraph"/>
        <w:numPr>
          <w:ilvl w:val="0"/>
          <w:numId w:val="2"/>
        </w:numPr>
        <w:spacing w:after="60" w:before="60" w:line="280"/>
      </w:pPr>
      <w:r>
        <w:rPr>
          <w:rFonts w:ascii="Calibri" w:cs="Calibri" w:eastAsia="Calibri" w:hAnsi="Calibri"/>
          <w:sz w:val="22"/>
          <w:szCs w:val="22"/>
        </w:rPr>
        <w:t xml:space="preserve">Anyone proposes a change via comment on the relevant page</w:t>
      </w:r>
    </w:p>
    <w:p>
      <w:pPr>
        <w:pStyle w:val="ListParagraph"/>
        <w:numPr>
          <w:ilvl w:val="0"/>
          <w:numId w:val="2"/>
        </w:numPr>
        <w:spacing w:after="60" w:before="60" w:line="280"/>
      </w:pPr>
      <w:r>
        <w:rPr>
          <w:rFonts w:ascii="Calibri" w:cs="Calibri" w:eastAsia="Calibri" w:hAnsi="Calibri"/>
          <w:sz w:val="22"/>
          <w:szCs w:val="22"/>
        </w:rPr>
        <w:t xml:space="preserve">Change is logged in the change log</w:t>
      </w:r>
    </w:p>
    <w:p>
      <w:pPr>
        <w:pStyle w:val="ListParagraph"/>
        <w:numPr>
          <w:ilvl w:val="0"/>
          <w:numId w:val="2"/>
        </w:numPr>
        <w:spacing w:after="60" w:before="60" w:line="280"/>
      </w:pPr>
      <w:r>
        <w:rPr>
          <w:rFonts w:ascii="Calibri" w:cs="Calibri" w:eastAsia="Calibri" w:hAnsi="Calibri"/>
          <w:sz w:val="22"/>
          <w:szCs w:val="22"/>
        </w:rPr>
        <w:t xml:space="preserve">Change type and notice period are assigned</w:t>
      </w:r>
    </w:p>
    <w:p>
      <w:pPr>
        <w:pStyle w:val="ListParagraph"/>
        <w:numPr>
          <w:ilvl w:val="0"/>
          <w:numId w:val="2"/>
        </w:numPr>
        <w:spacing w:after="60" w:before="60" w:line="280"/>
      </w:pPr>
      <w:r>
        <w:rPr>
          <w:rFonts w:ascii="Calibri" w:cs="Calibri" w:eastAsia="Calibri" w:hAnsi="Calibri"/>
          <w:sz w:val="22"/>
          <w:szCs w:val="22"/>
        </w:rPr>
        <w:t xml:space="preserve">Notice period runs; comments addressed</w:t>
      </w:r>
    </w:p>
    <w:p>
      <w:pPr>
        <w:pStyle w:val="ListParagraph"/>
        <w:numPr>
          <w:ilvl w:val="0"/>
          <w:numId w:val="2"/>
        </w:numPr>
        <w:spacing w:after="60" w:before="60" w:line="280"/>
      </w:pPr>
      <w:r>
        <w:rPr>
          <w:rFonts w:ascii="Calibri" w:cs="Calibri" w:eastAsia="Calibri" w:hAnsi="Calibri"/>
          <w:sz w:val="22"/>
          <w:szCs w:val="22"/>
        </w:rPr>
        <w:t xml:space="preserve">Change is committed</w:t>
      </w:r>
    </w:p>
    <w:p>
      <w:pPr>
        <w:pStyle w:val="ListParagraph"/>
        <w:numPr>
          <w:ilvl w:val="0"/>
          <w:numId w:val="2"/>
        </w:numPr>
        <w:spacing w:after="60" w:before="60" w:line="280"/>
      </w:pPr>
      <w:r>
        <w:rPr>
          <w:rFonts w:ascii="Calibri" w:cs="Calibri" w:eastAsia="Calibri" w:hAnsi="Calibri"/>
          <w:sz w:val="22"/>
          <w:szCs w:val="22"/>
        </w:rPr>
        <w:t xml:space="preserve">Change is announced in the next applicable cadence</w:t>
      </w:r>
    </w:p>
    <w:p>
      <w:pPr>
        <w:pStyle w:val="Heading2"/>
        <w:spacing w:after="160" w:before="280"/>
      </w:pPr>
      <w:r>
        <w:rPr>
          <w:rFonts w:ascii="Calibri" w:cs="Calibri" w:eastAsia="Calibri" w:hAnsi="Calibri"/>
          <w:b/>
          <w:bCs/>
          <w:sz w:val="28"/>
          <w:szCs w:val="28"/>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4320"/>
        <w:gridCol w:w="720"/>
        <w:gridCol w:w="1800"/>
      </w:tblGrid>
      <w:tr>
        <w:trPr>
          <w:tblHeader/>
        </w:trPr>
        <w:tc>
          <w:tcPr>
            <w:tcW w:type="dxa" w:w="108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Date</w:t>
            </w:r>
          </w:p>
        </w:tc>
        <w:tc>
          <w:tcPr>
            <w:tcW w:type="dxa" w:w="144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Section</w:t>
            </w:r>
          </w:p>
        </w:tc>
        <w:tc>
          <w:tcPr>
            <w:tcW w:type="dxa" w:w="43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Change</w:t>
            </w:r>
          </w:p>
        </w:tc>
        <w:tc>
          <w:tcPr>
            <w:tcW w:type="dxa" w:w="72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Type</w:t>
            </w:r>
          </w:p>
        </w:tc>
        <w:tc>
          <w:tcPr>
            <w:tcW w:type="dxa" w:w="1800"/>
            <w:tcBorders>
              <w:top w:val="single" w:color="595959" w:sz="8"/>
              <w:left w:val="single" w:color="595959" w:sz="8"/>
              <w:bottom w:val="single" w:color="595959" w:sz="8"/>
              <w:right w:val="single" w:color="595959" w:sz="8"/>
            </w:tcBorders>
            <w:shd w:fill="EEEEEE"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Status</w:t>
            </w:r>
          </w:p>
        </w:tc>
      </w:tr>
      <w:tr>
        <w:tc>
          <w:tcPr>
            <w:tcW w:type="dxa" w:w="10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2026-05-09</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North Star · Standards</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v8 publication: Two neutral-wording edits. North Star Direction: "Analysts query the data once instead of stitching reports together" → "Consumers query governed analytics products rather than manually reconciling application-specific reports." Standards Safe-vs-unsafe queries: "The semantic layer refuses the unsafe query" → "The semantic layer enforces the aggregation and grain rules defined in the product contract."</w:t>
            </w:r>
          </w:p>
        </w:tc>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Editorial</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PUBLISHED</w:t>
            </w:r>
          </w:p>
        </w:tc>
      </w:tr>
      <w:tr>
        <w:tc>
          <w:tcPr>
            <w:tcW w:type="dxa" w:w="10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2026-05-09</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v7 publication: Folds in revisions and three reconsidered points. Image references switched to slide titles. "Three views" timing claim corrected (immediately for views; next refresh for materialised copies). Promotion forward-pointer states what reader will find. Direction sentence avoids repetition. "Risk Data Model" → "Risk Domain Model" everywhere. Standards examples corrected to "additive" and to reflect Databricks SQL constraint behaviour. "When apps consume from the warehouse" promoted to its own section. Worked Example: grain-compatibility note added. Glossary scope clarified.</w:t>
            </w:r>
          </w:p>
        </w:tc>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PUBLISHED</w:t>
            </w:r>
          </w:p>
        </w:tc>
      </w:tr>
      <w:tr>
        <w:tc>
          <w:tcPr>
            <w:tcW w:type="dxa" w:w="10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2026-05-09</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v6 publication: New sibling page "From Risk Reports to Governed Data Products" describing the formalisation path for existing reports into governed warehouse products. New Section F in Standards: Onboarding Form Addendum for report promotion. Architecture &amp; Design data journey now references the promotion path. Governance renumbered to position 6.</w:t>
            </w:r>
          </w:p>
        </w:tc>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PUBLISHED</w:t>
            </w:r>
          </w:p>
        </w:tc>
      </w:tr>
      <w:tr>
        <w:tc>
          <w:tcPr>
            <w:tcW w:type="dxa" w:w="10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2026-05-09</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v5 publication: Architecture &amp; Design expanded with Data Domain Context, Databricks landscape and resolution path, Three views of the same data, Data copy only by design. Stage table rewritten per journey arc. Standards corrections: onboarding Q6/Q13, UC raw-zone authorship, Schema/Catalog ownership, riskwh layered schemas. Glossary expanded.</w:t>
            </w:r>
          </w:p>
        </w:tc>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PUBLISHED</w:t>
            </w:r>
          </w:p>
        </w:tc>
      </w:tr>
      <w:tr>
        <w:tc>
          <w:tcPr>
            <w:tcW w:type="dxa" w:w="10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2026-05-09</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v4 publication</w:t>
            </w:r>
          </w:p>
        </w:tc>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PUBLISHED</w:t>
            </w:r>
          </w:p>
        </w:tc>
      </w:tr>
      <w:tr>
        <w:tc>
          <w:tcPr>
            <w:tcW w:type="dxa" w:w="10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2026-05-08</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Initial v3 publication</w:t>
            </w:r>
          </w:p>
        </w:tc>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PUBLISHED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6"/>
      <w:szCs w:val="36"/>
    </w:rPr>
  </w:style>
  <w:style w:type="paragraph" w:styleId="Heading2">
    <w:name w:val="Heading 2"/>
    <w:basedOn w:val="Normal"/>
    <w:next w:val="Normal"/>
    <w:qFormat/>
    <w:pPr>
      <w:spacing w:after="160" w:before="280"/>
      <w:outlineLvl w:val="1"/>
    </w:pPr>
    <w:rPr>
      <w:rFonts w:ascii="Calibri" w:cs="Calibri" w:eastAsia="Calibri" w:hAnsi="Calibri"/>
      <w:b/>
      <w:bCs/>
      <w:sz w:val="28"/>
      <w:szCs w:val="28"/>
    </w:rPr>
  </w:style>
  <w:style w:type="paragraph" w:styleId="Heading3">
    <w:name w:val="Heading 3"/>
    <w:basedOn w:val="Normal"/>
    <w:next w:val="Normal"/>
    <w:qFormat/>
    <w:pPr>
      <w:spacing w:after="14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2026-05-10T00:45:02.973Z</dcterms:created>
  <dcterms:modified xsi:type="dcterms:W3CDTF">2026-05-10T00:45:02.975Z</dcterms:modified>
</cp:coreProperties>
</file>

<file path=docProps/custom.xml><?xml version="1.0" encoding="utf-8"?>
<Properties xmlns="http://schemas.openxmlformats.org/officeDocument/2006/custom-properties" xmlns:vt="http://schemas.openxmlformats.org/officeDocument/2006/docPropsVTypes"/>
</file>