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i/>
          <w:iCs/>
          <w:color w:val="6b7280"/>
          <w:sz w:val="18"/>
          <w:szCs w:val="18"/>
        </w:rPr>
        <w:t xml:space="preserve">TD Securities · Risk Data Platform</w:t>
      </w:r>
    </w:p>
    <w:p>
      <w:pPr>
        <w:pStyle w:val="Heading1"/>
        <w:spacing w:after="120" w:before="360"/>
      </w:pPr>
      <w:r>
        <w:rPr>
          <w:rFonts w:ascii="Calibri" w:cs="Calibri" w:eastAsia="Calibri" w:hAnsi="Calibri"/>
          <w:b/>
          <w:bCs/>
          <w:color w:val="166534"/>
          <w:sz w:val="36"/>
          <w:szCs w:val="36"/>
        </w:rPr>
        <w:t xml:space="preserve">North Star — Vision for Risk Analytics</w:t>
      </w:r>
    </w:p>
    <w:p>
      <w:pPr>
        <w:spacing w:after="80" w:before="80"/>
      </w:pPr>
      <w:r>
        <w:rPr>
          <w:rFonts w:ascii="Calibri" w:cs="Calibri" w:eastAsia="Calibri" w:hAnsi="Calibri"/>
          <w:color w:val="374151"/>
          <w:sz w:val="22"/>
          <w:szCs w:val="22"/>
        </w:rPr>
        <w:t xml:space="preserve">Risk analytics at TD Securities is moving from an application-centric world to a shared, governed analytics layer — one where the data Risk applications generate becomes a trusted, reusable foundation for business decisions, regulatory reporting, and cross-domain insight.</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Current State</w:t>
      </w:r>
    </w:p>
    <w:p>
      <w:pPr>
        <w:spacing w:after="80" w:before="80"/>
      </w:pPr>
      <w:r>
        <w:rPr>
          <w:rFonts w:ascii="Calibri" w:cs="Calibri" w:eastAsia="Calibri" w:hAnsi="Calibri"/>
          <w:color w:val="374151"/>
          <w:sz w:val="22"/>
          <w:szCs w:val="22"/>
        </w:rPr>
        <w:t xml:space="preserve">Risk applications generate valuable data — exposure, PFE, CVA, collateral, capital, and more — and distribute that data as reports and extracts agreed with the Business over time. Today, each application maintains its own data model, its own naming conventions, and its own connections to upstream source systems. There is no shared model across applications or across the Risk domain.</w:t>
      </w:r>
    </w:p>
    <w:p>
      <w:pPr>
        <w:spacing w:after="80" w:before="80"/>
      </w:pPr>
      <w:r>
        <w:rPr>
          <w:rFonts w:ascii="Calibri" w:cs="Calibri" w:eastAsia="Calibri" w:hAnsi="Calibri"/>
          <w:color w:val="374151"/>
          <w:sz w:val="22"/>
          <w:szCs w:val="22"/>
        </w:rPr>
        <w:t xml:space="preserve">When a question spans more than one application, an analyst pulls the relevant reports from each, reconciles the differences by hand, and produces an answer that may not be reproducible the next day. The same business question yields different numbers depending on which application owns which piece of the data.</w:t>
      </w:r>
    </w:p>
    <w:p>
      <w:pPr>
        <w:spacing w:after="80" w:before="80"/>
      </w:pPr>
      <w:r>
        <w:rPr>
          <w:rFonts w:ascii="Calibri" w:cs="Calibri" w:eastAsia="Calibri" w:hAnsi="Calibri"/>
          <w:color w:val="374151"/>
          <w:sz w:val="22"/>
          <w:szCs w:val="22"/>
        </w:rPr>
        <w:t xml:space="preserve">The starting material exists. The structure that analytics needs — common dimensions, a connected domain model, governed datasets, declared semantics — does not yet exist. The only material available to build it is the data the applications generate and the logic behind it.</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Direction</w:t>
      </w:r>
    </w:p>
    <w:p>
      <w:pPr>
        <w:spacing w:after="80" w:before="80"/>
      </w:pPr>
      <w:r>
        <w:rPr>
          <w:rFonts w:ascii="Calibri" w:cs="Calibri" w:eastAsia="Calibri" w:hAnsi="Calibri"/>
          <w:color w:val="374151"/>
          <w:sz w:val="22"/>
          <w:szCs w:val="22"/>
        </w:rPr>
        <w:t xml:space="preserve">The target state is a Risk Domain Model with shared dimensions, built up from Product Group level models, which are built up from application data. Curated data products joined across applications. Declared semantics that are enforced wherever the data is queried. Star schemas surfaced into the BI layer.</w:t>
      </w:r>
    </w:p>
    <w:p>
      <w:pPr>
        <w:spacing w:after="80" w:before="80"/>
      </w:pPr>
      <w:r>
        <w:rPr>
          <w:rFonts w:ascii="Calibri" w:cs="Calibri" w:eastAsia="Calibri" w:hAnsi="Calibri"/>
          <w:color w:val="374151"/>
          <w:sz w:val="22"/>
          <w:szCs w:val="22"/>
        </w:rPr>
        <w:t xml:space="preserve">Consumers query governed analytics products rather than manually reconciling application-specific reports. The objective is analytics that is trusted, scalable, and reusable across the Risk domain.</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The Journey — Six Stages</w:t>
      </w:r>
    </w:p>
    <w:p>
      <w:pPr>
        <w:spacing w:after="80" w:before="80"/>
      </w:pPr>
      <w:r>
        <w:rPr>
          <w:rFonts w:ascii="Calibri" w:cs="Calibri" w:eastAsia="Calibri" w:hAnsi="Calibri"/>
          <w:color w:val="374151"/>
          <w:sz w:val="22"/>
          <w:szCs w:val="22"/>
        </w:rPr>
        <w:t xml:space="preserve">The Risk Data Journey describes the path from the current starting point to the connected analytics layer. Six stages, each derived from what the applications produce, each adding the structure that was missing. The applications are not asked to change.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c8ddd6" w:sz="1"/>
              <w:left w:val="single" w:color="c8ddd6" w:sz="1"/>
              <w:bottom w:val="single" w:color="c8ddd6" w:sz="1"/>
              <w:right w:val="single" w:color="c8ddd6" w:sz="1"/>
            </w:tcBorders>
            <w:shd w:fill="166534"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4080"/>
            <w:tcBorders>
              <w:top w:val="single" w:color="c8ddd6" w:sz="1"/>
              <w:left w:val="single" w:color="c8ddd6" w:sz="1"/>
              <w:bottom w:val="single" w:color="c8ddd6" w:sz="1"/>
              <w:right w:val="single" w:color="c8ddd6" w:sz="1"/>
            </w:tcBorders>
            <w:shd w:fill="166534" w:val="clear"/>
            <w:tcMar>
              <w:top w:type="dxa" w:w="80"/>
              <w:left w:type="dxa" w:w="120"/>
              <w:bottom w:type="dxa" w:w="80"/>
              <w:right w:type="dxa" w:w="120"/>
            </w:tcMar>
          </w:tcPr>
          <w:p>
            <w:r>
              <w:rPr>
                <w:rFonts w:ascii="Calibri" w:cs="Calibri" w:eastAsia="Calibri" w:hAnsi="Calibri"/>
                <w:b/>
                <w:bCs/>
                <w:color w:val="FFFFFF"/>
                <w:sz w:val="20"/>
                <w:szCs w:val="20"/>
              </w:rPr>
              <w:t xml:space="preserve">What this stage adds</w:t>
            </w:r>
          </w:p>
        </w:tc>
        <w:tc>
          <w:tcPr>
            <w:tcW w:type="dxa" w:w="2880"/>
            <w:tcBorders>
              <w:top w:val="single" w:color="c8ddd6" w:sz="1"/>
              <w:left w:val="single" w:color="c8ddd6" w:sz="1"/>
              <w:bottom w:val="single" w:color="c8ddd6" w:sz="1"/>
              <w:right w:val="single" w:color="c8ddd6" w:sz="1"/>
            </w:tcBorders>
            <w:shd w:fill="166534" w:val="clear"/>
            <w:tcMar>
              <w:top w:type="dxa" w:w="80"/>
              <w:left w:type="dxa" w:w="120"/>
              <w:bottom w:type="dxa" w:w="80"/>
              <w:right w:type="dxa" w:w="120"/>
            </w:tcMar>
          </w:tcPr>
          <w:p>
            <w:r>
              <w:rPr>
                <w:rFonts w:ascii="Calibri" w:cs="Calibri" w:eastAsia="Calibri" w:hAnsi="Calibri"/>
                <w:b/>
                <w:bCs/>
                <w:color w:val="FFFFFF"/>
                <w:sz w:val="20"/>
                <w:szCs w:val="20"/>
              </w:rPr>
              <w:t xml:space="preserve">Where it lives</w:t>
            </w:r>
          </w:p>
        </w:tc>
      </w:tr>
      <w:tr>
        <w:tc>
          <w:tcPr>
            <w:tcW w:type="dxa" w:w="24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① Raw / Landed</w:t>
            </w:r>
          </w:p>
        </w:tc>
        <w:tc>
          <w:tcPr>
            <w:tcW w:type="dxa" w:w="40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Application data lands in Databricks in its native shape. Reports, extracts, and reference data as produced. No transformation.</w:t>
            </w:r>
          </w:p>
        </w:tc>
        <w:tc>
          <w:tcPr>
            <w:tcW w:type="dxa" w:w="28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App schema · bronze</w:t>
            </w:r>
          </w:p>
        </w:tc>
      </w:tr>
      <w:tr>
        <w:tc>
          <w:tcPr>
            <w:tcW w:type="dxa" w:w="24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② Conformed</w:t>
            </w:r>
          </w:p>
        </w:tc>
        <w:tc>
          <w:tcPr>
            <w:tcW w:type="dxa" w:w="40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Shared dimensions introduced. Counterparty, trade, currency, time bucket, book, desk — standardised across applications. Same counterparty means the same thing everywhere.</w:t>
            </w:r>
          </w:p>
        </w:tc>
        <w:tc>
          <w:tcPr>
            <w:tcW w:type="dxa" w:w="28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App schema · silver</w:t>
            </w:r>
          </w:p>
        </w:tc>
      </w:tr>
      <w:tr>
        <w:tc>
          <w:tcPr>
            <w:tcW w:type="dxa" w:w="24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③ Risk Domain Model</w:t>
            </w:r>
          </w:p>
        </w:tc>
        <w:tc>
          <w:tcPr>
            <w:tcW w:type="dxa" w:w="40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A connected model of Risk entities and relationships. Data reorganised against this model, joined across applications using conformed dimensions. Application schemas resolve to Product Group models, which resolve to the Risk Domain Model.</w:t>
            </w:r>
          </w:p>
        </w:tc>
        <w:tc>
          <w:tcPr>
            <w:tcW w:type="dxa" w:w="28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riskwh.confirmed</w:t>
            </w:r>
          </w:p>
        </w:tc>
      </w:tr>
      <w:tr>
        <w:tc>
          <w:tcPr>
            <w:tcW w:type="dxa" w:w="24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④ Governed Data Products</w:t>
            </w:r>
          </w:p>
        </w:tc>
        <w:tc>
          <w:tcPr>
            <w:tcW w:type="dxa" w:w="40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Curated datasets paired with the rules of their use — what they mean, who owns them, how often they refresh. Registered in Unity Catalog. Consumers know what they are getting.</w:t>
            </w:r>
          </w:p>
        </w:tc>
        <w:tc>
          <w:tcPr>
            <w:tcW w:type="dxa" w:w="28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riskwh.gold</w:t>
            </w:r>
          </w:p>
        </w:tc>
      </w:tr>
      <w:tr>
        <w:tc>
          <w:tcPr>
            <w:tcW w:type="dxa" w:w="24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⑤ Declared Semantics</w:t>
            </w:r>
          </w:p>
        </w:tc>
        <w:tc>
          <w:tcPr>
            <w:tcW w:type="dxa" w:w="40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Aggregation rules and business behaviour declared once, centrally. A measure that cannot be summed across counterparties (such as PFE) cannot be summed by mistake. Queries evaluated against declared rules.</w:t>
            </w:r>
          </w:p>
        </w:tc>
        <w:tc>
          <w:tcPr>
            <w:tcW w:type="dxa" w:w="28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Semantic layer</w:t>
            </w:r>
          </w:p>
        </w:tc>
      </w:tr>
      <w:tr>
        <w:tc>
          <w:tcPr>
            <w:tcW w:type="dxa" w:w="240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⑥ Analytics in BI</w:t>
            </w:r>
          </w:p>
        </w:tc>
        <w:tc>
          <w:tcPr>
            <w:tcW w:type="dxa" w:w="40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Star schemas surface in BI tools, dashboards, ad-hoc queries, regulatory feeds, and model inputs. Declared semantics honoured in the BI tool. The same question, the same answer.</w:t>
            </w:r>
          </w:p>
        </w:tc>
        <w:tc>
          <w:tcPr>
            <w:tcW w:type="dxa" w:w="2880"/>
            <w:tcBorders>
              <w:top w:val="single" w:color="c8ddd6" w:sz="1"/>
              <w:left w:val="single" w:color="c8ddd6" w:sz="1"/>
              <w:bottom w:val="single" w:color="c8ddd6" w:sz="1"/>
              <w:right w:val="single" w:color="c8ddd6" w:sz="1"/>
            </w:tcBorders>
            <w:tcMar>
              <w:top w:type="dxa" w:w="80"/>
              <w:left w:type="dxa" w:w="120"/>
              <w:bottom w:type="dxa" w:w="80"/>
              <w:right w:type="dxa" w:w="120"/>
            </w:tcMar>
          </w:tcPr>
          <w:p>
            <w:r>
              <w:rPr>
                <w:rFonts w:ascii="Calibri" w:cs="Calibri" w:eastAsia="Calibri" w:hAnsi="Calibri"/>
                <w:b w:val="false"/>
                <w:bCs w:val="false"/>
                <w:color w:val="374151"/>
                <w:sz w:val="20"/>
                <w:szCs w:val="20"/>
              </w:rPr>
              <w:t xml:space="preserve">Strategy / BI</w:t>
            </w:r>
          </w:p>
        </w:tc>
      </w:tr>
    </w:tbl>
    <w:p>
      <w:pPr>
        <w:spacing w:after="60" w:before="120"/>
      </w:pPr>
    </w:p>
    <w:p>
      <w:pPr>
        <w:spacing w:after="80" w:before="80"/>
      </w:pPr>
      <w:r>
        <w:rPr>
          <w:rFonts w:ascii="Calibri" w:cs="Calibri" w:eastAsia="Calibri" w:hAnsi="Calibri"/>
          <w:i/>
          <w:iCs/>
          <w:color w:val="6b7280"/>
          <w:sz w:val="22"/>
          <w:szCs w:val="22"/>
        </w:rPr>
        <w:t xml:space="preserve">Each stage builds on the previous one. Skip Conformed and the Risk Domain Model has no consistent keys to join on. Skip Governed Data Products and consumers cannot trust what they receive. The progression is deliberate.</w:t>
      </w: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What This Enables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Analysts query governed Risk analytics products rather than pulling and reconciling reports from individual applications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The same counterparty, the same trade, the same exposure — defined once, used consistently across every Risk application and product group</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Regulatory reporting, risk sensitivity dashboards, and cross-domain analytics built on a single trusted foundation</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Risk contributes to enterprise CDM Domain #5 (Derived Data and Metrics) with a coherent, governed Risk Domain Model</w:t>
      </w:r>
    </w:p>
    <w:p>
      <w:pPr>
        <w:spacing w:after="60" w:before="120"/>
      </w:pPr>
    </w:p>
    <w:p>
      <w:pPr>
        <w:pBdr>
          <w:bottom w:val="single" w:color="c8ddd6" w:sz="4" w:space="1"/>
        </w:pBdr>
        <w:spacing w:after="120" w:before="120"/>
      </w:pPr>
    </w:p>
    <w:p>
      <w:pPr>
        <w:pStyle w:val="Heading2"/>
        <w:spacing w:after="100" w:before="280"/>
      </w:pPr>
      <w:r>
        <w:rPr>
          <w:rFonts w:ascii="Calibri" w:cs="Calibri" w:eastAsia="Calibri" w:hAnsi="Calibri"/>
          <w:b/>
          <w:bCs/>
          <w:color w:val="16a34a"/>
          <w:sz w:val="28"/>
          <w:szCs w:val="28"/>
        </w:rPr>
        <w:t xml:space="preserve">Related Pages</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Risk Data Operating Model — how Risk data moves from application output to confirmed entities and analytics. Includes the entity conformity process, the CDM alignment approach, and the ingestion operating model.</w:t>
      </w:r>
    </w:p>
    <w:p>
      <w:pPr>
        <w:pStyle w:val="ListParagraph"/>
        <w:numPr>
          <w:ilvl w:val="0"/>
          <w:numId w:val="2"/>
        </w:numPr>
        <w:spacing w:after="40" w:before="40"/>
      </w:pPr>
      <w:r>
        <w:rPr>
          <w:rFonts w:ascii="Calibri" w:cs="Calibri" w:eastAsia="Calibri" w:hAnsi="Calibri"/>
          <w:b w:val="false"/>
          <w:bCs w:val="false"/>
          <w:color w:val="374151"/>
          <w:sz w:val="22"/>
          <w:szCs w:val="22"/>
        </w:rPr>
        <w:t xml:space="preserve">Databricks Platform Model — the physical infrastructure. Catalog structure, workspace layout, resolution path, code locations, and update behaviours.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66534"/>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6a34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2026-05-31T00:58:44.847Z</dcterms:created>
  <dcterms:modified xsi:type="dcterms:W3CDTF">2026-05-31T00:58:44.847Z</dcterms:modified>
</cp:coreProperties>
</file>

<file path=docProps/custom.xml><?xml version="1.0" encoding="utf-8"?>
<Properties xmlns="http://schemas.openxmlformats.org/officeDocument/2006/custom-properties" xmlns:vt="http://schemas.openxmlformats.org/officeDocument/2006/docPropsVTypes"/>
</file>