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i/>
          <w:iCs/>
          <w:color w:val="6b7280"/>
          <w:sz w:val="18"/>
          <w:szCs w:val="18"/>
        </w:rPr>
        <w:t xml:space="preserve">TD Securities · Risk Data Platform</w:t>
      </w:r>
    </w:p>
    <w:p>
      <w:pPr>
        <w:pStyle w:val="Heading1"/>
        <w:spacing w:after="120" w:before="360"/>
      </w:pPr>
      <w:r>
        <w:rPr>
          <w:rFonts w:ascii="Calibri" w:cs="Calibri" w:eastAsia="Calibri" w:hAnsi="Calibri"/>
          <w:b/>
          <w:bCs/>
          <w:color w:val="166534"/>
          <w:sz w:val="36"/>
          <w:szCs w:val="36"/>
        </w:rPr>
        <w:t xml:space="preserve">Risk Data Operating Model</w:t>
      </w:r>
    </w:p>
    <w:p>
      <w:pPr>
        <w:spacing w:after="80" w:before="80"/>
      </w:pPr>
      <w:r>
        <w:rPr>
          <w:rFonts w:ascii="Calibri" w:cs="Calibri" w:eastAsia="Calibri" w:hAnsi="Calibri"/>
          <w:color w:val="374151"/>
          <w:sz w:val="22"/>
          <w:szCs w:val="22"/>
        </w:rPr>
        <w:t xml:space="preserve">This page describes how Risk data moves from application output to a shared, governed analytics layer — the process of entity conformity, CDM alignment, the ingestion operating model, and the Databricks storage layers. The full detail is in the accompanying deck below.</w:t>
      </w:r>
    </w:p>
    <w:p>
      <w:pPr>
        <w:spacing w:after="80" w:before="80"/>
      </w:pPr>
      <w:r>
        <w:rPr>
          <w:rFonts w:ascii="Calibri" w:cs="Calibri" w:eastAsia="Calibri" w:hAnsi="Calibri"/>
          <w:b/>
          <w:bCs/>
          <w:color w:val="1d6fa4"/>
          <w:sz w:val="22"/>
          <w:szCs w:val="22"/>
        </w:rPr>
        <w:t xml:space="preserve">[ INSERT DECK LINK HERE ]</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What This Model Covers</w:t>
      </w:r>
    </w:p>
    <w:p>
      <w:pPr>
        <w:spacing w:after="80" w:before="80"/>
      </w:pPr>
      <w:r>
        <w:rPr>
          <w:rFonts w:ascii="Calibri" w:cs="Calibri" w:eastAsia="Calibri" w:hAnsi="Calibri"/>
          <w:color w:val="374151"/>
          <w:sz w:val="22"/>
          <w:szCs w:val="22"/>
        </w:rPr>
        <w:t xml:space="preserve">The Risk Data Operating Model answers four questions: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What is the process for building conformity across Risk application data — from raw landing to governed entities?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How does Risk align with the enterprise CDM — who has the conversation, when, and in what form?</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How does the ingestion team operate — what do they own, what do the app teams own, and where is the boundary?</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What is the migration path from today's independently-sourced data to a CDM-aligned, governed data layer?</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Phase Overview</w:t>
      </w:r>
    </w:p>
    <w:p>
      <w:pPr>
        <w:spacing w:after="80" w:before="80"/>
      </w:pPr>
      <w:r>
        <w:rPr>
          <w:rFonts w:ascii="Calibri" w:cs="Calibri" w:eastAsia="Calibri" w:hAnsi="Calibri"/>
          <w:color w:val="374151"/>
          <w:sz w:val="22"/>
          <w:szCs w:val="22"/>
        </w:rPr>
        <w:t xml:space="preserve">The operating model runs in four phases. Each phase builds on the previous and produces concrete artifacts that persist in the Databricks storage layer.</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456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80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20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bCs/>
                <w:color w:val="1d6fa4"/>
                <w:sz w:val="20"/>
                <w:szCs w:val="20"/>
              </w:rPr>
              <w:t xml:space="preserve">1 · Risk Data into Databricks</w:t>
            </w:r>
          </w:p>
        </w:tc>
        <w:tc>
          <w:tcPr>
            <w:tcW w:type="dxa" w:w="456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color w:val="374151"/>
                <w:sz w:val="20"/>
                <w:szCs w:val="20"/>
              </w:rPr>
              <w:t xml:space="preserve">Raw data landed in bronze. App team identifies and conforms entities. Conformed reports built in silver using app-local conformed entities. Ingestion contract created with Contract ID.</w:t>
            </w:r>
          </w:p>
        </w:tc>
        <w:tc>
          <w:tcPr>
            <w:tcW w:type="dxa" w:w="28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color w:val="6b7280"/>
                <w:sz w:val="20"/>
                <w:szCs w:val="20"/>
              </w:rPr>
              <w:t xml:space="preserve">App team + Ingestion team</w:t>
            </w:r>
          </w:p>
        </w:tc>
      </w:tr>
      <w:tr>
        <w:tc>
          <w:tcPr>
            <w:tcW w:type="dxa" w:w="200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b/>
                <w:bCs/>
                <w:color w:val="6941a8"/>
                <w:sz w:val="20"/>
                <w:szCs w:val="20"/>
              </w:rPr>
              <w:t xml:space="preserve">2 · RW Conformed Entities</w:t>
            </w:r>
          </w:p>
        </w:tc>
        <w:tc>
          <w:tcPr>
            <w:tcW w:type="dxa" w:w="456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color w:val="374151"/>
                <w:sz w:val="20"/>
                <w:szCs w:val="20"/>
              </w:rPr>
              <w:t xml:space="preserve">App silver entities reviewed side-by-side in sandbox. CDM conversation held with one consolidated Risk position. Risk Conformed Entity created. Risk Data Catalog populated. Data Product Owner signs off.</w:t>
            </w:r>
          </w:p>
        </w:tc>
        <w:tc>
          <w:tcPr>
            <w:tcW w:type="dxa" w:w="280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color w:val="6b7280"/>
                <w:sz w:val="20"/>
                <w:szCs w:val="20"/>
              </w:rPr>
              <w:t xml:space="preserve">Risk Data Product + CDM team</w:t>
            </w:r>
          </w:p>
        </w:tc>
      </w:tr>
      <w:tr>
        <w:tc>
          <w:tcPr>
            <w:tcW w:type="dxa" w:w="20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bCs/>
                <w:color w:val="0f766e"/>
                <w:sz w:val="20"/>
                <w:szCs w:val="20"/>
              </w:rPr>
              <w:t xml:space="preserve">3 · App Consumption of RCE</w:t>
            </w:r>
          </w:p>
        </w:tc>
        <w:tc>
          <w:tcPr>
            <w:tcW w:type="dxa" w:w="456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color w:val="374151"/>
                <w:sz w:val="20"/>
                <w:szCs w:val="20"/>
              </w:rPr>
              <w:t xml:space="preserve">Ingestion team populates and maintains the RCE. Each app gets its own consumption bridge (RCE naming to app-internal naming). App internals unchanged. Consumption contract agreed. Direct source feeds deprecated.</w:t>
            </w:r>
          </w:p>
        </w:tc>
        <w:tc>
          <w:tcPr>
            <w:tcW w:type="dxa" w:w="28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color w:val="6b7280"/>
                <w:sz w:val="20"/>
                <w:szCs w:val="20"/>
              </w:rPr>
              <w:t xml:space="preserve">App team + Ingestion team</w:t>
            </w:r>
          </w:p>
        </w:tc>
      </w:tr>
      <w:tr>
        <w:tc>
          <w:tcPr>
            <w:tcW w:type="dxa" w:w="200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b/>
                <w:bCs/>
                <w:color w:val="16a34a"/>
                <w:sz w:val="20"/>
                <w:szCs w:val="20"/>
              </w:rPr>
              <w:t xml:space="preserve">4 · Risk WH Analytics</w:t>
            </w:r>
          </w:p>
        </w:tc>
        <w:tc>
          <w:tcPr>
            <w:tcW w:type="dxa" w:w="456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color w:val="374151"/>
                <w:sz w:val="20"/>
                <w:szCs w:val="20"/>
              </w:rPr>
              <w:t xml:space="preserve">Cross-application joins and views over app gold. Conformed dimensions and derived entities in riskwh.confirmed. Star schema and semantic model in Strategy (BI layer).</w:t>
            </w:r>
          </w:p>
        </w:tc>
        <w:tc>
          <w:tcPr>
            <w:tcW w:type="dxa" w:w="2800"/>
            <w:tcBorders>
              <w:top w:val="single" w:color="c8ddd6" w:sz="1"/>
              <w:left w:val="single" w:color="c8ddd6" w:sz="1"/>
              <w:bottom w:val="single" w:color="c8ddd6" w:sz="1"/>
              <w:right w:val="single" w:color="c8ddd6" w:sz="1"/>
            </w:tcBorders>
            <w:shd w:fill="f0fdf4" w:val="clear"/>
            <w:tcMar>
              <w:top w:type="dxa" w:w="80"/>
              <w:left w:type="dxa" w:w="120"/>
              <w:bottom w:type="dxa" w:w="80"/>
              <w:right w:type="dxa" w:w="120"/>
            </w:tcMar>
          </w:tcPr>
          <w:p>
            <w:r>
              <w:rPr>
                <w:rFonts w:ascii="Calibri" w:cs="Calibri" w:eastAsia="Calibri" w:hAnsi="Calibri"/>
                <w:color w:val="6b7280"/>
                <w:sz w:val="20"/>
                <w:szCs w:val="20"/>
              </w:rPr>
              <w:t xml:space="preserve">Risk Data Platform</w:t>
            </w:r>
          </w:p>
        </w:tc>
      </w:tr>
    </w:tbl>
    <w:p>
      <w:pPr>
        <w:spacing w:after="60" w:before="120"/>
      </w:pP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Key Artifacts</w:t>
      </w:r>
    </w:p>
    <w:p>
      <w:pPr>
        <w:spacing w:after="80" w:before="80"/>
      </w:pPr>
      <w:r>
        <w:rPr>
          <w:rFonts w:ascii="Calibri" w:cs="Calibri" w:eastAsia="Calibri" w:hAnsi="Calibri"/>
          <w:color w:val="374151"/>
          <w:sz w:val="22"/>
          <w:szCs w:val="22"/>
        </w:rPr>
        <w:t xml:space="preserve">Four artifacts underpin the operating model. Each has a distinct purpose and owner.</w:t>
      </w:r>
    </w:p>
    <w:p>
      <w:pPr>
        <w:pStyle w:val="Heading3"/>
        <w:spacing w:after="80" w:before="200"/>
      </w:pPr>
      <w:r>
        <w:rPr>
          <w:rFonts w:ascii="Calibri" w:cs="Calibri" w:eastAsia="Calibri" w:hAnsi="Calibri"/>
          <w:b/>
          <w:bCs/>
          <w:color w:val="0f766e"/>
          <w:sz w:val="24"/>
          <w:szCs w:val="24"/>
        </w:rPr>
        <w:t xml:space="preserve">Contract ID</w:t>
      </w:r>
    </w:p>
    <w:p>
      <w:pPr>
        <w:spacing w:after="80" w:before="80"/>
      </w:pPr>
      <w:r>
        <w:rPr>
          <w:rFonts w:ascii="Calibri" w:cs="Calibri" w:eastAsia="Calibri" w:hAnsi="Calibri"/>
          <w:color w:val="374151"/>
          <w:sz w:val="22"/>
          <w:szCs w:val="22"/>
        </w:rPr>
        <w:t xml:space="preserve">The persistent identifier that travels with data from source through every layer — app silver, Risk Conformed Entity, and CDM. Contract ID links data sourcing (the ingestion contract) to entity semantics (the Risk Data Catalog). When sourcing switches to CDM, only the Contract ID reference in the Resolution Table changes. The entity definition and app consumption are unchanged.</w:t>
      </w:r>
    </w:p>
    <w:p>
      <w:pPr>
        <w:pStyle w:val="Heading3"/>
        <w:spacing w:after="80" w:before="200"/>
      </w:pPr>
      <w:r>
        <w:rPr>
          <w:rFonts w:ascii="Calibri" w:cs="Calibri" w:eastAsia="Calibri" w:hAnsi="Calibri"/>
          <w:b/>
          <w:bCs/>
          <w:color w:val="0f766e"/>
          <w:sz w:val="24"/>
          <w:szCs w:val="24"/>
        </w:rPr>
        <w:t xml:space="preserve">Ingestion Contract</w:t>
      </w:r>
    </w:p>
    <w:p>
      <w:pPr>
        <w:spacing w:after="80" w:before="80"/>
      </w:pPr>
      <w:r>
        <w:rPr>
          <w:rFonts w:ascii="Calibri" w:cs="Calibri" w:eastAsia="Calibri" w:hAnsi="Calibri"/>
          <w:color w:val="374151"/>
          <w:sz w:val="22"/>
          <w:szCs w:val="22"/>
        </w:rPr>
        <w:t xml:space="preserve">One contract per application-to-source feed. Records the source system, malcode, ingestion frequency, SLA, and status. Operational artifact — separate lifecycle from entity definitions. Owned by the Risk Ingestion Team.</w:t>
      </w:r>
    </w:p>
    <w:p>
      <w:pPr>
        <w:pStyle w:val="Heading3"/>
        <w:spacing w:after="80" w:before="200"/>
      </w:pPr>
      <w:r>
        <w:rPr>
          <w:rFonts w:ascii="Calibri" w:cs="Calibri" w:eastAsia="Calibri" w:hAnsi="Calibri"/>
          <w:b/>
          <w:bCs/>
          <w:color w:val="0f766e"/>
          <w:sz w:val="24"/>
          <w:szCs w:val="24"/>
        </w:rPr>
        <w:t xml:space="preserve">Risk Data Catalog</w:t>
      </w:r>
    </w:p>
    <w:p>
      <w:pPr>
        <w:spacing w:after="80" w:before="80"/>
      </w:pPr>
      <w:r>
        <w:rPr>
          <w:rFonts w:ascii="Calibri" w:cs="Calibri" w:eastAsia="Calibri" w:hAnsi="Calibri"/>
          <w:color w:val="374151"/>
          <w:sz w:val="22"/>
          <w:szCs w:val="22"/>
        </w:rPr>
        <w:t xml:space="preserve">The governance layer linking confirmed entities to their ingestion contracts, CDM alignment status, sourcing frequency, and contributing applications. Lives in riskwh.confirmed metadata. Unity Catalog tags propagated from here. Owned jointly by the Risk Data Platform and Ingestion Team.</w:t>
      </w:r>
    </w:p>
    <w:p>
      <w:pPr>
        <w:pStyle w:val="Heading3"/>
        <w:spacing w:after="80" w:before="200"/>
      </w:pPr>
      <w:r>
        <w:rPr>
          <w:rFonts w:ascii="Calibri" w:cs="Calibri" w:eastAsia="Calibri" w:hAnsi="Calibri"/>
          <w:b/>
          <w:bCs/>
          <w:color w:val="0f766e"/>
          <w:sz w:val="24"/>
          <w:szCs w:val="24"/>
        </w:rPr>
        <w:t xml:space="preserve">Resolution Table</w:t>
      </w:r>
    </w:p>
    <w:p>
      <w:pPr>
        <w:spacing w:after="80" w:before="80"/>
      </w:pPr>
      <w:r>
        <w:rPr>
          <w:rFonts w:ascii="Calibri" w:cs="Calibri" w:eastAsia="Calibri" w:hAnsi="Calibri"/>
          <w:color w:val="374151"/>
          <w:sz w:val="22"/>
          <w:szCs w:val="22"/>
        </w:rPr>
        <w:t xml:space="preserve">The migrate-backward ledger. Maps each app entity attribute to the corresponding Risk Conformed Entity attribute and the ingestion contract feeding that mapping. When CDM is adopted as the source for an entity, only this table is updated — the RCE definition and app consumption are unchanged. Owned by the Ingestion Team.</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CDM Alignment</w:t>
      </w:r>
    </w:p>
    <w:p>
      <w:pPr>
        <w:spacing w:after="80" w:before="80"/>
      </w:pPr>
      <w:r>
        <w:rPr>
          <w:rFonts w:ascii="Calibri" w:cs="Calibri" w:eastAsia="Calibri" w:hAnsi="Calibri"/>
          <w:color w:val="374151"/>
          <w:sz w:val="22"/>
          <w:szCs w:val="22"/>
        </w:rPr>
        <w:t xml:space="preserve">Risk contributes to enterprise CDM Domain #5 — Derived Data and Metrics. The alignment process works as follows: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Each entity goes through the Phase 2 cross-app review and is agreed at the Risk level before any CDM conversation</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Risk presents a consolidated entity position to CDM — one governed conversation per entity</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Where CDM has the entity: Risk adopts CDM as the authoritative source, migrated gradually via the Resolution Table</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Where CDM has a gap: Risk flags the gap, continues sourcing independently, and transfers ownership to CDM when their roadmap is ready</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Risk-owned enrichments (netting set, CSA terms, risk classifications) are permanently owned by Risk — these never migrate to CDM</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Populate Forward · Migrate Backward</w:t>
      </w:r>
    </w:p>
    <w:p>
      <w:pPr>
        <w:spacing w:after="80" w:before="80"/>
      </w:pPr>
      <w:r>
        <w:rPr>
          <w:rFonts w:ascii="Calibri" w:cs="Calibri" w:eastAsia="Calibri" w:hAnsi="Calibri"/>
          <w:color w:val="374151"/>
          <w:sz w:val="22"/>
          <w:szCs w:val="22"/>
        </w:rPr>
        <w:t xml:space="preserve">The migration from today's state to the target state follows this pattern:</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Now — Bootstrap: RCE populated from current best sources. Apps start consuming via consumption bridge after parallel test.</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Short term — Switch sourcing: Entities ratified with CDM. Resolution Table updated to point to CDM contract. Apps and RCE definition unchanged.</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Medium term — Deprecate: Direct application-to-source feeds deprecated. Consumption bridges remain as permanent anti-corruption layers. Resolution Table and Risk Data Catalog are the complete audit trail.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6653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6a34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2026-05-31T00:58:44.862Z</dcterms:created>
  <dcterms:modified xsi:type="dcterms:W3CDTF">2026-05-31T00:58:44.862Z</dcterms:modified>
</cp:coreProperties>
</file>

<file path=docProps/custom.xml><?xml version="1.0" encoding="utf-8"?>
<Properties xmlns="http://schemas.openxmlformats.org/officeDocument/2006/custom-properties" xmlns:vt="http://schemas.openxmlformats.org/officeDocument/2006/docPropsVTypes"/>
</file>