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TD Securities · Risk Data Platform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66534"/>
          <w:sz w:val="36"/>
          <w:szCs w:val="36"/>
        </w:rPr>
        <w:t xml:space="preserve">Databricks Platform Model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Databricks is the platform on which the Risk analytics layer is built. This page describes the physical infrastructure — the account and workspace structure, the catalog layout, the resolution path from application data to the Risk Domain Model, and the code and update behaviour of each artifact type.</w:t>
      </w: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Platform Overview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Databricks hierarchy follows the standard structure: one TDS account at the top, with workspaces underneath, a metastore per region, and catalogs and schemas inside the metastore.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Databricks-TDS Account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Top-level container for all Databricks assets. One per organisation.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Workspace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Environment for notebooks, jobs, and clusters. Where users work. Catalogs and schemas are defined here. Risk workspaces are defined per environment.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Metastore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Unity Catalog governance layer. One per region. Links to the workspaces in the same region.</w:t>
            </w:r>
          </w:p>
        </w:tc>
      </w:tr>
    </w:tbl>
    <w:p>
      <w:pPr>
        <w:spacing w:after="60" w:before="120"/>
      </w:pP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Catalog and Schema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Catalog</w:t>
            </w:r>
          </w:p>
        </w:tc>
        <w:tc>
          <w:tcPr>
            <w:tcW w:type="dxa" w:w="40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creditrisk, marketrisk, liquidity, finance</w:t>
            </w:r>
          </w:p>
        </w:tc>
        <w:tc>
          <w:tcPr>
            <w:tcW w:type="dxa" w:w="40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One catalog per Product Group. Each catalog contains one schema per app — the malcode-specific schema (e.g. creditrisk.xvala, creditrisk.cmos). The application lands its generated data into its malcode-specific schema.</w:t>
            </w:r>
          </w:p>
        </w:tc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PG Leader (catalog), App team (data within the schema)</w:t>
            </w:r>
          </w:p>
        </w:tc>
      </w:tr>
      <w:tr>
        <w:tc>
          <w:tcPr>
            <w:tcW w:type="dxa" w:w="24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riskwh</w:t>
            </w:r>
          </w:p>
        </w:tc>
        <w:tc>
          <w:tcPr>
            <w:tcW w:type="dxa" w:w="40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Risk Warehouse catalog. Contains the sandbox, the resolved Product Group models, the Risk Domain Model, curated data products, the semantic layer, and the Risk Data Catalog metadata.</w:t>
            </w:r>
          </w:p>
        </w:tc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DD / Risk Data Platform</w:t>
            </w:r>
          </w:p>
        </w:tc>
      </w:tr>
      <w:tr>
        <w:tc>
          <w:tcPr>
            <w:tcW w:type="dxa" w:w="24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risk_governance</w:t>
            </w:r>
          </w:p>
        </w:tc>
        <w:tc>
          <w:tcPr>
            <w:tcW w:type="dxa" w:w="40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Governance metadata: contract registry, lineage records, tag reference, Unity Catalog tag definitions.</w:t>
            </w:r>
          </w:p>
        </w:tc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DD / Risk Data Platform</w:t>
            </w:r>
          </w:p>
        </w:tc>
      </w:tr>
    </w:tbl>
    <w:p>
      <w:pPr>
        <w:spacing w:after="60" w:before="120"/>
      </w:pP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Resolution Path: A → B → C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 does not stay at the application level. It resolves upward through three steps, each widening the scope from app to Product Group to Risk Domain. The resolution is a model resolution, not a data copy — wherever possible, higher levels are views over the lower levels.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resolves</w:t>
            </w:r>
          </w:p>
        </w:tc>
        <w:tc>
          <w:tcPr>
            <w:tcW w:type="dxa" w:w="3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1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A — App / project level</w:t>
            </w:r>
          </w:p>
        </w:tc>
        <w:tc>
          <w:tcPr>
            <w:tcW w:type="dxa" w:w="45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Generated data and model at the application or project level. Each application lands its data into its malcode-specific schema. The model, where it exists, describes what one application produces.</w:t>
            </w:r>
          </w:p>
        </w:tc>
        <w:tc>
          <w:tcPr>
            <w:tcW w:type="dxa" w:w="3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&lt;pg_catalog&gt;.&lt;app_name&gt; (e.g. creditrisk.xvala)</w:t>
            </w:r>
          </w:p>
        </w:tc>
      </w:tr>
      <w:tr>
        <w:tc>
          <w:tcPr>
            <w:tcW w:type="dxa" w:w="1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941a8"/>
                <w:sz w:val="20"/>
                <w:szCs w:val="20"/>
              </w:rPr>
              <w:t xml:space="preserve">B — Product Group level</w:t>
            </w:r>
          </w:p>
        </w:tc>
        <w:tc>
          <w:tcPr>
            <w:tcW w:type="dxa" w:w="45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Project-level schemas resolve into a Product Group data model. Conformed dimensions and shared definitions are introduced here, across the apps that sit inside one Product Group. Currently in build for credit risk, liquidity, and finance.</w:t>
            </w:r>
          </w:p>
        </w:tc>
        <w:tc>
          <w:tcPr>
            <w:tcW w:type="dxa" w:w="3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riskwh.pg_models (PG-level views and tables)</w:t>
            </w:r>
          </w:p>
        </w:tc>
      </w:tr>
      <w:tr>
        <w:tc>
          <w:tcPr>
            <w:tcW w:type="dxa" w:w="1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C — Risk Domain level</w:t>
            </w:r>
          </w:p>
        </w:tc>
        <w:tc>
          <w:tcPr>
            <w:tcW w:type="dxa" w:w="45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Product Group models resolve into the Risk Domain Model — business objects, not application or project specific. This is Risk's contribution to enterprise CDM Domain #5 (Derived Data and Metrics).</w:t>
            </w:r>
          </w:p>
        </w:tc>
        <w:tc>
          <w:tcPr>
            <w:tcW w:type="dxa" w:w="3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riskwh.risk_domain (Risk Domain Model entities)</w:t>
            </w:r>
          </w:p>
        </w:tc>
      </w:tr>
    </w:tbl>
    <w:p>
      <w:pPr>
        <w:spacing w:after="60" w:before="120"/>
      </w:pP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Three Views of the Same Data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same physical data in Databricks is read through three different lenses, depending on who is looking at it.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viewer sees</w:t>
            </w:r>
          </w:p>
        </w:tc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App view</w:t>
            </w:r>
          </w:p>
        </w:tc>
        <w:tc>
          <w:tcPr>
            <w:tcW w:type="dxa" w:w="53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The application team sees its own malcode-specific schema and the data its application has generated. The model, where it exists, is application-specific.</w:t>
            </w:r>
          </w:p>
        </w:tc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One app inside one PG</w:t>
            </w:r>
          </w:p>
        </w:tc>
      </w:tr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941a8"/>
                <w:sz w:val="20"/>
                <w:szCs w:val="20"/>
              </w:rPr>
              <w:t xml:space="preserve">Product Group view</w:t>
            </w:r>
          </w:p>
        </w:tc>
        <w:tc>
          <w:tcPr>
            <w:tcW w:type="dxa" w:w="53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The PG Leader and PG-level consumers see a conformed model across the apps inside one Product Group. Conformed dimensions, shared definitions, and cross-app relationships within the PG.</w:t>
            </w:r>
          </w:p>
        </w:tc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All apps inside one PG</w:t>
            </w:r>
          </w:p>
        </w:tc>
      </w:tr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Risk view</w:t>
            </w:r>
          </w:p>
        </w:tc>
        <w:tc>
          <w:tcPr>
            <w:tcW w:type="dxa" w:w="53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Risk Data and central consumers see the Risk Domain Model — a connected view across all four Product Groups. This is the view that contributes to the enterprise CDM.</w:t>
            </w:r>
          </w:p>
        </w:tc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All PGs across Risk domain</w:t>
            </w:r>
          </w:p>
        </w:tc>
      </w:tr>
    </w:tbl>
    <w:p>
      <w:pPr>
        <w:spacing w:after="60" w:before="120"/>
      </w:pP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Artifact Types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Four kinds of objects appear in the analytics layer. They are independent and can be combined.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736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Entity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real-world thing — a counterparty, a trade, an agreement. Attributes describe it. Entities sit at the foundation under all other objects.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Domain Model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connected model across applications (App data footprint), across a Product Group (PG model), or across all of Risk (Risk Domain Model). Each level is broader than the previous.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 Product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dataset that has been curated and given a contract. Closed shape, stable, ready to consume. Consumers know what they are getting and how it behaves.</w:t>
            </w:r>
          </w:p>
        </w:tc>
      </w:tr>
      <w:tr>
        <w:tc>
          <w:tcPr>
            <w:tcW w:type="dxa" w:w="28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648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common shape for self-service queries — a fact table joined to dimension tables. Open shape: consumers can write their own queries. Rules for safe use applied separately by the semantic layer.</w:t>
            </w:r>
          </w:p>
        </w:tc>
      </w:tr>
    </w:tbl>
    <w:p>
      <w:pPr>
        <w:spacing w:after="60" w:before="120"/>
      </w:pP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Code Locations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Code for the application side and code for the analytics side live in separate places, owned by different teams and deployed on separate paths.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3120"/>
        <w:gridCol w:w="2800"/>
      </w:tblGrid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144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Deploys to</w:t>
            </w:r>
          </w:p>
        </w:tc>
      </w:tr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App-zone (one per app)</w:t>
            </w:r>
          </w:p>
        </w:tc>
        <w:tc>
          <w:tcPr>
            <w:tcW w:type="dxa" w:w="144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App team</w:t>
            </w:r>
          </w:p>
        </w:tc>
        <w:tc>
          <w:tcPr>
            <w:tcW w:type="dxa" w:w="312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 code, schema DDLs for the malcode-specific schema, app-internal dashboards</w:t>
            </w:r>
          </w:p>
        </w:tc>
        <w:tc>
          <w:tcPr>
            <w:tcW w:type="dxa" w:w="2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 PROD; Databricks malcode-specific schema</w:t>
            </w:r>
          </w:p>
        </w:tc>
      </w:tr>
      <w:tr>
        <w:tc>
          <w:tcPr>
            <w:tcW w:type="dxa" w:w="20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Risk Warehouse</w:t>
            </w:r>
          </w:p>
        </w:tc>
        <w:tc>
          <w:tcPr>
            <w:tcW w:type="dxa" w:w="144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DD</w:t>
            </w:r>
          </w:p>
        </w:tc>
        <w:tc>
          <w:tcPr>
            <w:tcW w:type="dxa" w:w="312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Analytics product DDLs, contracts, Unity Catalog tag definitions, semantic layer code, analytics dashboards</w:t>
            </w:r>
          </w:p>
        </w:tc>
        <w:tc>
          <w:tcPr>
            <w:tcW w:type="dxa" w:w="2800"/>
            <w:tcBorders>
              <w:top w:val="single" w:color="c8ddd6" w:sz="1"/>
              <w:left w:val="single" w:color="c8ddd6" w:sz="1"/>
              <w:bottom w:val="single" w:color="c8ddd6" w:sz="1"/>
              <w:right w:val="single" w:color="c8ddd6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Databricks riskwh</w:t>
            </w:r>
          </w:p>
        </w:tc>
      </w:tr>
    </w:tbl>
    <w:p>
      <w:pPr>
        <w:spacing w:after="60" w:before="120"/>
      </w:pPr>
    </w:p>
    <w:p>
      <w:pPr>
        <w:pBdr>
          <w:bottom w:val="single" w:color="c8ddd6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Data Copy Only by Design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Databricks artifacts default to views over the underlying data. A physical copy is made only when the contract or the implementation requires it — for example, snapshot stability, query performance, or volatile upstream data. Every artifact described in this page — entity views, data products, star schemas — may be implemented as a view or as a physical copy. The choice is driven by the contract and the specific requirements of each artifact, not by the artifact type.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6653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2026-05-31T00:58:44.876Z</dcterms:created>
  <dcterms:modified xsi:type="dcterms:W3CDTF">2026-05-31T00:58:44.876Z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