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isk-data-jira-intake-template-spec"/>
    <w:p>
      <w:pPr>
        <w:pStyle w:val="Heading1"/>
      </w:pPr>
      <w:r>
        <w:t xml:space="preserve">Risk Data — Jira Intake Template Spec</w:t>
      </w:r>
    </w:p>
    <w:p>
      <w:pPr>
        <w:pStyle w:val="FirstParagraph"/>
      </w:pPr>
      <w:r>
        <w:rPr>
          <w:iCs/>
          <w:i/>
        </w:rPr>
        <w:t xml:space="preserve">A simple intake form raised by Business users when a needed data product doesn’t yet exist in the Risk Warehouse. Routes to the relevant PG owner. The full contract is authored later by Risk Data after the PG owner conversation.</w:t>
      </w:r>
    </w:p>
    <w:bookmarkStart w:id="20" w:name="where-this-lives"/>
    <w:p>
      <w:pPr>
        <w:pStyle w:val="Heading2"/>
      </w:pPr>
      <w:r>
        <w:t xml:space="preserve">Where this lives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</w:t>
      </w:r>
      <w:r>
        <w:t xml:space="preserve">: Jira project (TBD — coordinate with engineering / Atlassian admin)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Routing</w:t>
      </w:r>
      <w:r>
        <w:t xml:space="preserve">: Auto-routes to PG owner if Field 6 (</w:t>
      </w:r>
      <w:r>
        <w:t xml:space="preserve">“</w:t>
      </w:r>
      <w:r>
        <w:t xml:space="preserve">Known PG involved</w:t>
      </w:r>
      <w:r>
        <w:t xml:space="preserve">”</w:t>
      </w:r>
      <w:r>
        <w:t xml:space="preserve">) is populated; otherwise routed to a Risk Data triage queue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SLA</w:t>
      </w:r>
      <w:r>
        <w:t xml:space="preserve">: First response within 5 working days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 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New → Triaged → In Conversation → Contract Drafting → Published → Closed</w:t>
      </w:r>
    </w:p>
    <w:bookmarkEnd w:id="20"/>
    <w:bookmarkStart w:id="21" w:name="form-fields"/>
    <w:p>
      <w:pPr>
        <w:pStyle w:val="Heading2"/>
      </w:pPr>
      <w:r>
        <w:t xml:space="preserve">Form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1680"/>
        <w:gridCol w:w="1440"/>
        <w:gridCol w:w="240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Requesting team / business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team or function raising the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 (3–4 sentences)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requester needs and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 or 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 Dashboard · Report · Model input · Regulatory feed · Ad-hoc analysis ·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 urgency / 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or short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requester needs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applications or tables if the requester knows them — may be discovered during PG owner conversation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PG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Risk · Market Risk · Liquidity · Funding · Unknown — auto-routes if populated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approver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 sponsoring this request</w:t>
            </w:r>
          </w:p>
        </w:tc>
      </w:tr>
    </w:tbl>
    <w:bookmarkEnd w:id="21"/>
    <w:bookmarkStart w:id="22" w:name="what-happens-after-submission"/>
    <w:p>
      <w:pPr>
        <w:pStyle w:val="Heading2"/>
      </w:pPr>
      <w:r>
        <w:t xml:space="preserve">What happens after submission</w:t>
      </w:r>
    </w:p>
    <w:p>
      <w:pPr>
        <w:numPr>
          <w:ilvl w:val="0"/>
          <w:numId w:val="1002"/>
        </w:numPr>
        <w:pStyle w:val="Compact"/>
      </w:pPr>
      <w:r>
        <w:t xml:space="preserve">Ticket lands in the relevant PG owner’s queue</w:t>
      </w:r>
    </w:p>
    <w:p>
      <w:pPr>
        <w:numPr>
          <w:ilvl w:val="0"/>
          <w:numId w:val="1002"/>
        </w:numPr>
        <w:pStyle w:val="Compact"/>
      </w:pPr>
      <w:r>
        <w:t xml:space="preserve">PG owner triages, may request clarification via Jira comments</w:t>
      </w:r>
    </w:p>
    <w:p>
      <w:pPr>
        <w:numPr>
          <w:ilvl w:val="0"/>
          <w:numId w:val="1002"/>
        </w:numPr>
        <w:pStyle w:val="Compact"/>
      </w:pPr>
      <w:r>
        <w:t xml:space="preserve">PG owner conversations:</w:t>
      </w:r>
    </w:p>
    <w:p>
      <w:pPr>
        <w:numPr>
          <w:ilvl w:val="1"/>
          <w:numId w:val="1003"/>
        </w:numPr>
        <w:pStyle w:val="Compact"/>
      </w:pPr>
      <w:r>
        <w:t xml:space="preserve">With App team(s) — if data comes from apps within the PG</w:t>
      </w:r>
    </w:p>
    <w:p>
      <w:pPr>
        <w:numPr>
          <w:ilvl w:val="1"/>
          <w:numId w:val="1003"/>
        </w:numPr>
        <w:pStyle w:val="Compact"/>
      </w:pPr>
      <w:r>
        <w:t xml:space="preserve">With other PG owners — if cross-PG conformance needed</w:t>
      </w:r>
    </w:p>
    <w:p>
      <w:pPr>
        <w:numPr>
          <w:ilvl w:val="0"/>
          <w:numId w:val="1002"/>
        </w:numPr>
        <w:pStyle w:val="Compact"/>
      </w:pPr>
      <w:r>
        <w:t xml:space="preserve">Risk Data authors the data contract (Excel design source → JSON/YAML in Risk Warehouse Git)</w:t>
      </w:r>
    </w:p>
    <w:p>
      <w:pPr>
        <w:numPr>
          <w:ilvl w:val="0"/>
          <w:numId w:val="1002"/>
        </w:numPr>
        <w:pStyle w:val="Compact"/>
      </w:pPr>
      <w:r>
        <w:t xml:space="preserve">Contract publishes to Unity Catalog (as tags) and Collibra (business catalog)</w:t>
      </w:r>
    </w:p>
    <w:p>
      <w:pPr>
        <w:numPr>
          <w:ilvl w:val="0"/>
          <w:numId w:val="1002"/>
        </w:numPr>
        <w:pStyle w:val="Compact"/>
      </w:pPr>
      <w:r>
        <w:t xml:space="preserve">Data product becomes discoverable in</w:t>
      </w:r>
      <w:r>
        <w:t xml:space="preserve"> </w:t>
      </w:r>
      <w:r>
        <w:rPr>
          <w:rStyle w:val="VerbatimChar"/>
        </w:rPr>
        <w:t xml:space="preserve">riskwh</w:t>
      </w:r>
    </w:p>
    <w:p>
      <w:pPr>
        <w:numPr>
          <w:ilvl w:val="0"/>
          <w:numId w:val="1002"/>
        </w:numPr>
        <w:pStyle w:val="Compact"/>
      </w:pPr>
      <w:r>
        <w:t xml:space="preserve">Ticket closed with link to the published data product</w:t>
      </w:r>
    </w:p>
    <w:p>
      <w:pPr>
        <w:numPr>
          <w:ilvl w:val="0"/>
          <w:numId w:val="1002"/>
        </w:numPr>
        <w:pStyle w:val="Compact"/>
      </w:pPr>
      <w:r>
        <w:t xml:space="preserve">Requester subscribes via Collibra; if building a dashboard, registers it in</w:t>
      </w:r>
      <w:r>
        <w:t xml:space="preserve"> </w:t>
      </w:r>
      <w:r>
        <w:rPr>
          <w:rStyle w:val="VerbatimChar"/>
        </w:rPr>
        <w:t xml:space="preserve">risk_governance.consumer_registry</w:t>
      </w:r>
    </w:p>
    <w:bookmarkEnd w:id="22"/>
    <w:bookmarkStart w:id="23" w:name="what-this-form-is-not"/>
    <w:p>
      <w:pPr>
        <w:pStyle w:val="Heading2"/>
      </w:pPr>
      <w:r>
        <w:t xml:space="preserve">What this form is NOT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intake</w:t>
      </w:r>
      <w:r>
        <w:t xml:space="preserve"> </w:t>
      </w:r>
      <w:r>
        <w:t xml:space="preserve">form, not the</w:t>
      </w:r>
      <w:r>
        <w:t xml:space="preserve"> </w:t>
      </w:r>
      <w:r>
        <w:rPr>
          <w:bCs/>
          <w:b/>
        </w:rPr>
        <w:t xml:space="preserve">contract</w:t>
      </w:r>
      <w:r>
        <w:t xml:space="preserve">. The 25 detailed attributes that define a data product (grain, aggregation rules, allowed/blocked dimensions, SLA, etc.) live in the data contract, which Risk Data authors after the PG-owner conversation. The requester does not need to know any of those details to raise this intake.</w:t>
      </w:r>
    </w:p>
    <w:bookmarkEnd w:id="23"/>
    <w:bookmarkStart w:id="24" w:name="engineering-notes"/>
    <w:p>
      <w:pPr>
        <w:pStyle w:val="Heading2"/>
      </w:pPr>
      <w:r>
        <w:t xml:space="preserve">Engineering notes</w:t>
      </w:r>
    </w:p>
    <w:p>
      <w:pPr>
        <w:numPr>
          <w:ilvl w:val="0"/>
          <w:numId w:val="1004"/>
        </w:numPr>
        <w:pStyle w:val="Compact"/>
      </w:pPr>
      <w:r>
        <w:t xml:space="preserve">The form schema is intentionally generic. Engineering can extend with PG-specific custom fields if a PG wants additional triage data, but the seven fields above should remain the standard core.</w:t>
      </w:r>
    </w:p>
    <w:p>
      <w:pPr>
        <w:numPr>
          <w:ilvl w:val="0"/>
          <w:numId w:val="1004"/>
        </w:numPr>
        <w:pStyle w:val="Compact"/>
      </w:pPr>
      <w:r>
        <w:t xml:space="preserve">Implementation can be a Jira Service Management form, a Jira issue type, or a Smart Form — engineering choice.</w:t>
      </w:r>
    </w:p>
    <w:p>
      <w:pPr>
        <w:numPr>
          <w:ilvl w:val="0"/>
          <w:numId w:val="1004"/>
        </w:numPr>
        <w:pStyle w:val="Compact"/>
      </w:pPr>
      <w:r>
        <w:t xml:space="preserve">The form’s submission webhook can populate the project roster automatically (see</w:t>
      </w:r>
      <w:r>
        <w:t xml:space="preserve"> </w:t>
      </w:r>
      <w:r>
        <w:rPr>
          <w:iCs/>
          <w:i/>
        </w:rPr>
        <w:t xml:space="preserve">Governance &amp; Cadence</w:t>
      </w:r>
      <w:r>
        <w:t xml:space="preserve"> </w:t>
      </w:r>
      <w:r>
        <w:t xml:space="preserve">— Project Roster).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2026-05-12T00:29:07Z</dcterms:created>
  <dcterms:modified xsi:type="dcterms:W3CDTF">2026-05-12T00:29:07Z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