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.-naming-convention-standard"/>
    <w:p>
      <w:pPr>
        <w:pStyle w:val="Heading1"/>
      </w:pPr>
      <w:r>
        <w:t xml:space="preserve">F. Naming Convention Standard</w:t>
      </w:r>
    </w:p>
    <w:p>
      <w:pPr>
        <w:pStyle w:val="FirstParagraph"/>
      </w:pPr>
      <w:r>
        <w:rPr>
          <w:iCs/>
          <w:i/>
        </w:rPr>
        <w:t xml:space="preserve">Authority: PG Leaders define names at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&lt;pg&gt;.conformed</w:t>
      </w:r>
      <w:r>
        <w:rPr>
          <w:iCs/>
          <w:i/>
        </w:rPr>
        <w:t xml:space="preserve"> </w:t>
      </w:r>
      <w:r>
        <w:rPr>
          <w:iCs/>
          <w:i/>
        </w:rPr>
        <w:t xml:space="preserve">schema. Risk Data implements technically. Names carry up to the Risk Warehouse and down to apps via aliases.</w:t>
      </w:r>
    </w:p>
    <w:p>
      <w:pPr>
        <w:pStyle w:val="BodyText"/>
      </w:pPr>
      <w:r>
        <w:rPr>
          <w:iCs/>
          <w:i/>
        </w:rPr>
        <w:t xml:space="preserve">Companion artefacts: Naming Convention Flow diagram (Section A of this page) · Abbreviations Dictionary (Section G).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Every column in every analytics-layer table has four name forms: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795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label (e.g.,</w:t>
            </w:r>
            <w:r>
              <w:t xml:space="preserve"> </w:t>
            </w:r>
            <w:r>
              <w:rPr>
                <w:iCs/>
                <w:i/>
              </w:rPr>
              <w:t xml:space="preserve">Counterparty Internal 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business_name</w:t>
            </w:r>
            <w:r>
              <w:t xml:space="preserve"> </w:t>
            </w:r>
            <w:r>
              <w:t xml:space="preserve">· Collibra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column name in SQL (e.g.,</w:t>
            </w:r>
            <w:r>
              <w:t xml:space="preserve"> </w:t>
            </w:r>
            <w:r>
              <w:rPr>
                <w:rStyle w:val="VerbatimChar"/>
              </w:rPr>
              <w:t xml:space="preserve">counterparty_internal_rating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abbreviated form for length-constrained consumers (e.g.,</w:t>
            </w:r>
            <w:r>
              <w:t xml:space="preserve"> </w:t>
            </w:r>
            <w:r>
              <w:rPr>
                <w:rStyle w:val="VerbatimChar"/>
              </w:rPr>
              <w:t xml:space="preserve">cp_int_rating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short_name</w:t>
            </w:r>
            <w:r>
              <w:t xml:space="preserve"> </w:t>
            </w:r>
            <w:r>
              <w:t xml:space="preserve">— only if 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column names from source apps (e.g., XVALA’s</w:t>
            </w:r>
            <w:r>
              <w:t xml:space="preserve"> </w:t>
            </w:r>
            <w:r>
              <w:rPr>
                <w:rStyle w:val="VerbatimChar"/>
              </w:rPr>
              <w:t xml:space="preserve">cpIntRtg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aliases</w:t>
            </w:r>
            <w:r>
              <w:t xml:space="preserve"> </w:t>
            </w:r>
            <w:r>
              <w:t xml:space="preserve">— multi-value, one entry per source app</w:t>
            </w:r>
          </w:p>
        </w:tc>
      </w:tr>
    </w:tbl>
    <w:p>
      <w:pPr>
        <w:pStyle w:val="BodyText"/>
      </w:pPr>
      <w:r>
        <w:t xml:space="preserve">All four names point to the same logical column. The mapping is recorded once at the conformance step.</w:t>
      </w:r>
    </w:p>
    <w:bookmarkEnd w:id="20"/>
    <w:bookmarkStart w:id="21" w:name="authority"/>
    <w:p>
      <w:pPr>
        <w:pStyle w:val="Heading2"/>
      </w:pPr>
      <w:r>
        <w:t xml:space="preserve">Authority</w:t>
      </w:r>
    </w:p>
    <w:p>
      <w:pPr>
        <w:pStyle w:val="FirstParagraph"/>
      </w:pPr>
      <w:r>
        <w:t xml:space="preserve">Names are defined and owned by the</w:t>
      </w:r>
      <w:r>
        <w:t xml:space="preserve"> </w:t>
      </w:r>
      <w:r>
        <w:rPr>
          <w:bCs/>
          <w:b/>
        </w:rPr>
        <w:t xml:space="preserve">PG Leader</w:t>
      </w:r>
      <w:r>
        <w:t xml:space="preserve"> </w:t>
      </w:r>
      <w:r>
        <w:t xml:space="preserve">at the PG conformed schema (</w:t>
      </w:r>
      <w:r>
        <w:rPr>
          <w:rStyle w:val="VerbatimChar"/>
        </w:rPr>
        <w:t xml:space="preserve">creditrisk.conformed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marketrisk.conformed</w:t>
      </w:r>
      <w:r>
        <w:t xml:space="preserve">, etc.). New names entering the analytics layer pass through PG-level review.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 Warehouse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riskwh.*</w:t>
      </w:r>
      <w:r>
        <w:t xml:space="preserve">) uses the same canonical physical names defined at the PG layer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 schemas</w:t>
      </w:r>
      <w:r>
        <w:t xml:space="preserve"> </w:t>
      </w:r>
      <w:r>
        <w:t xml:space="preserve">keep their original names; the conformance step records app names as aliases against the canonical column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Legacy app names are not forced to rename.</w:t>
      </w:r>
      <w:r>
        <w:t xml:space="preserve"> </w:t>
      </w:r>
      <w:r>
        <w:t xml:space="preserve">Translation happens at the conformance step</w:t>
      </w:r>
    </w:p>
    <w:bookmarkEnd w:id="21"/>
    <w:bookmarkStart w:id="22" w:name="rules-for-physical-names"/>
    <w:p>
      <w:pPr>
        <w:pStyle w:val="Heading2"/>
      </w:pPr>
      <w:r>
        <w:t xml:space="preserve">Rules for physical names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Lowercase only.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snake_case for compound names.</w:t>
      </w:r>
      <w:r>
        <w:t xml:space="preserve"> </w:t>
      </w:r>
      <w:r>
        <w:t xml:space="preserve">Words separated by underscores:</w:t>
      </w:r>
      <w:r>
        <w:t xml:space="preserve"> </w:t>
      </w:r>
      <w:r>
        <w:rPr>
          <w:rStyle w:val="VerbatimChar"/>
        </w:rPr>
        <w:t xml:space="preserve">counterparty_internal_rating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special characters.</w:t>
      </w:r>
      <w:r>
        <w:t xml:space="preserve"> </w:t>
      </w:r>
      <w:r>
        <w:t xml:space="preserve">Letters, digits, underscores only. No spaces, dots, dashes, slashes.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Standard suffixes</w:t>
      </w:r>
      <w:r>
        <w:t xml:space="preserve"> </w:t>
      </w:r>
      <w:r>
        <w:t xml:space="preserve">carry semantic meaning (see table below).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SQL reserved words</w:t>
      </w:r>
      <w:r>
        <w:t xml:space="preserve"> </w:t>
      </w:r>
      <w:r>
        <w:t xml:space="preserve">as bare column names: avoid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valuation_date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record_type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Maximum 30 characters</w:t>
      </w:r>
      <w:r>
        <w:t xml:space="preserve"> </w:t>
      </w:r>
      <w:r>
        <w:t xml:space="preserve">for cross-system portability. Above 30, derive a short form via the abbreviations dictionary.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Short forms (when needed) use the abbreviations dictionary.</w:t>
      </w:r>
      <w:r>
        <w:t xml:space="preserve"> </w:t>
      </w:r>
      <w:r>
        <w:t xml:space="preserve">No inventing new abbreviations ad hoc.</w:t>
      </w:r>
    </w:p>
    <w:bookmarkEnd w:id="22"/>
    <w:bookmarkStart w:id="23" w:name="standard-suffixes"/>
    <w:p>
      <w:pPr>
        <w:pStyle w:val="Heading2"/>
      </w:pPr>
      <w:r>
        <w:t xml:space="preserve">Standard suffixes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(no time component)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or 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_amount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Monetary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notional_amount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mtm_amt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breach_flag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_code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risk_class_cd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_count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breach_cnt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_name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name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legal_entity_nm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_desc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_descr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event_descr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agreement_type</w:t>
            </w:r>
          </w:p>
        </w:tc>
      </w:tr>
    </w:tbl>
    <w:bookmarkEnd w:id="23"/>
    <w:bookmarkStart w:id="24" w:name="when-to-derive-a-short-name"/>
    <w:p>
      <w:pPr>
        <w:pStyle w:val="Heading2"/>
      </w:pPr>
      <w:r>
        <w:t xml:space="preserve">When to derive a short name</w:t>
      </w:r>
    </w:p>
    <w:p>
      <w:pPr>
        <w:pStyle w:val="FirstParagraph"/>
      </w:pPr>
      <w:r>
        <w:t xml:space="preserve">The physical name is the default. A short name is derived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 specific downstream consumer requires length-constrained columns:</w:t>
      </w:r>
    </w:p>
    <w:p>
      <w:pPr>
        <w:numPr>
          <w:ilvl w:val="0"/>
          <w:numId w:val="1003"/>
        </w:numPr>
        <w:pStyle w:val="Compact"/>
      </w:pPr>
      <w:r>
        <w:t xml:space="preserve">Regulatory feeds with fixed column-header length limits</w:t>
      </w:r>
    </w:p>
    <w:p>
      <w:pPr>
        <w:numPr>
          <w:ilvl w:val="0"/>
          <w:numId w:val="1003"/>
        </w:numPr>
        <w:pStyle w:val="Compact"/>
      </w:pPr>
      <w:r>
        <w:t xml:space="preserve">BI tool column headers with display-width constraints</w:t>
      </w:r>
    </w:p>
    <w:p>
      <w:pPr>
        <w:numPr>
          <w:ilvl w:val="0"/>
          <w:numId w:val="1003"/>
        </w:numPr>
        <w:pStyle w:val="Compact"/>
      </w:pPr>
      <w:r>
        <w:t xml:space="preserve">Legacy system integrations with character-length limits</w:t>
      </w:r>
    </w:p>
    <w:p>
      <w:pPr>
        <w:numPr>
          <w:ilvl w:val="0"/>
          <w:numId w:val="1003"/>
        </w:numPr>
        <w:pStyle w:val="Compact"/>
      </w:pPr>
      <w:r>
        <w:t xml:space="preserve">File format constraints (some flat-file specs)</w:t>
      </w:r>
    </w:p>
    <w:p>
      <w:pPr>
        <w:pStyle w:val="FirstParagraph"/>
      </w:pPr>
      <w:r>
        <w:t xml:space="preserve">If no such consumer exists for the column, no short name is needed.</w:t>
      </w:r>
    </w:p>
    <w:bookmarkEnd w:id="24"/>
    <w:bookmarkStart w:id="25" w:name="derivation-algorithm"/>
    <w:p>
      <w:pPr>
        <w:pStyle w:val="Heading2"/>
      </w:pPr>
      <w:r>
        <w:t xml:space="preserve">Derivation algorithm</w:t>
      </w:r>
    </w:p>
    <w:p>
      <w:pPr>
        <w:pStyle w:val="SourceCode"/>
      </w:pPr>
      <w:r>
        <w:rPr>
          <w:rStyle w:val="VerbatimChar"/>
        </w:rPr>
        <w:t xml:space="preserve">Business name → Physical name (canonical)</w:t>
      </w:r>
      <w:r>
        <w:br/>
      </w:r>
      <w:r>
        <w:br/>
      </w:r>
      <w:r>
        <w:rPr>
          <w:rStyle w:val="VerbatimChar"/>
        </w:rPr>
        <w:t xml:space="preserve">1. Trim and lowercase the business name</w:t>
      </w:r>
      <w:r>
        <w:br/>
      </w:r>
      <w:r>
        <w:rPr>
          <w:rStyle w:val="VerbatimChar"/>
        </w:rPr>
        <w:t xml:space="preserve">2. Replace spaces with underscores</w:t>
      </w:r>
      <w:r>
        <w:br/>
      </w:r>
      <w:r>
        <w:rPr>
          <w:rStyle w:val="VerbatimChar"/>
        </w:rPr>
        <w:t xml:space="preserve">3. Strip any remaining special characters</w:t>
      </w:r>
      <w:r>
        <w:br/>
      </w:r>
      <w:r>
        <w:rPr>
          <w:rStyle w:val="VerbatimChar"/>
        </w:rPr>
        <w:t xml:space="preserve">4. Check length ≤ 30 characters</w:t>
      </w:r>
      <w:r>
        <w:br/>
      </w:r>
      <w:r>
        <w:rPr>
          <w:rStyle w:val="VerbatimChar"/>
        </w:rPr>
        <w:t xml:space="preserve">5. Apply correct suffix from the standard suffix table</w:t>
      </w:r>
      <w:r>
        <w:br/>
      </w:r>
      <w:r>
        <w:rPr>
          <w:rStyle w:val="VerbatimChar"/>
        </w:rPr>
        <w:t xml:space="preserve">6. Validate uniqueness within the schema</w:t>
      </w:r>
    </w:p>
    <w:p>
      <w:pPr>
        <w:pStyle w:val="SourceCode"/>
      </w:pPr>
      <w:r>
        <w:rPr>
          <w:rStyle w:val="VerbatimChar"/>
        </w:rPr>
        <w:t xml:space="preserve">Physical name → Short name (only if needed)</w:t>
      </w:r>
      <w:r>
        <w:br/>
      </w:r>
      <w:r>
        <w:br/>
      </w:r>
      <w:r>
        <w:rPr>
          <w:rStyle w:val="VerbatimChar"/>
        </w:rPr>
        <w:t xml:space="preserve">1. Tokenise the physical name on underscores</w:t>
      </w:r>
      <w:r>
        <w:br/>
      </w:r>
      <w:r>
        <w:rPr>
          <w:rStyle w:val="VerbatimChar"/>
        </w:rPr>
        <w:t xml:space="preserve">2. For each token, look up the abbreviation in the Abbreviations Dictionary</w:t>
      </w:r>
      <w:r>
        <w:br/>
      </w:r>
      <w:r>
        <w:rPr>
          <w:rStyle w:val="VerbatimChar"/>
        </w:rPr>
        <w:t xml:space="preserve">3. If no abbreviation exists, the token is kept as-is</w:t>
      </w:r>
      <w:r>
        <w:br/>
      </w:r>
      <w:r>
        <w:rPr>
          <w:rStyle w:val="VerbatimChar"/>
        </w:rPr>
        <w:t xml:space="preserve">4. Rejoin tokens with underscores</w:t>
      </w:r>
      <w:r>
        <w:br/>
      </w:r>
      <w:r>
        <w:rPr>
          <w:rStyle w:val="VerbatimChar"/>
        </w:rPr>
        <w:t xml:space="preserve">5. Validate the short name is ≤ 12-15 characters (typical consumer limit)</w:t>
      </w:r>
    </w:p>
    <w:p>
      <w:pPr>
        <w:pStyle w:val="FirstParagraph"/>
      </w:pPr>
      <w:r>
        <w:t xml:space="preserve">The PG Leader is the final arbiter when the algorithm produces an ambiguous result.</w:t>
      </w:r>
    </w:p>
    <w:bookmarkEnd w:id="25"/>
    <w:bookmarkStart w:id="26" w:name="worked-examples"/>
    <w:p>
      <w:pPr>
        <w:pStyle w:val="Heading2"/>
      </w:pPr>
      <w:r>
        <w:t xml:space="preserve">Worked examples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48"/>
        <w:gridCol w:w="3168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name (if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Internal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counterparty_internal_rating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cp_int_rating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Future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potential_future_exposure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Netting Set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netting_set_id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suffix preserved in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_dt</w:t>
            </w:r>
            <w:r>
              <w:t xml:space="preserve"> </w:t>
            </w:r>
            <w:r>
              <w:t xml:space="preserve">standard 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to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mark_to_market_amount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mtm_amt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 to Market</w:t>
            </w:r>
            <w:r>
              <w:t xml:space="preserve">”</w:t>
            </w:r>
            <w:r>
              <w:t xml:space="preserve"> </w:t>
            </w:r>
            <w:r>
              <w:t xml:space="preserve">is itself an established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Spread Sensitivity at 01 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credit_spread_sensitivity_01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forms valid;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  <w:r>
              <w:t xml:space="preserve">/</w:t>
            </w:r>
            <w:r>
              <w:rPr>
                <w:rStyle w:val="VerbatimChar"/>
              </w:rPr>
              <w:t xml:space="preserve">_nm</w:t>
            </w:r>
            <w:r>
              <w:t xml:space="preserve"> </w:t>
            </w:r>
            <w:r>
              <w:t xml:space="preserve">is the standard suffix pair</w:t>
            </w:r>
          </w:p>
        </w:tc>
      </w:tr>
    </w:tbl>
    <w:bookmarkEnd w:id="26"/>
    <w:bookmarkStart w:id="29" w:name="app-aliases-preserving-the-mapping-back"/>
    <w:p>
      <w:pPr>
        <w:pStyle w:val="Heading2"/>
      </w:pPr>
      <w:r>
        <w:t xml:space="preserve">App aliases — preserving the mapping back</w:t>
      </w:r>
    </w:p>
    <w:p>
      <w:pPr>
        <w:pStyle w:val="FirstParagraph"/>
      </w:pPr>
      <w:r>
        <w:t xml:space="preserve">When data enters the PG conformed schema from a source app, the original app column name is recorded as an alias against the canonical column.</w:t>
      </w:r>
    </w:p>
    <w:p>
      <w:pPr>
        <w:pStyle w:val="BodyText"/>
      </w:pPr>
      <w:r>
        <w:t xml:space="preserve">Aliases are stored in the UC column tag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as a multi-value tag, with each entry in the form</w:t>
      </w:r>
      <w:r>
        <w:t xml:space="preserve"> </w:t>
      </w:r>
      <w:r>
        <w:rPr>
          <w:rStyle w:val="VerbatimChar"/>
        </w:rPr>
        <w:t xml:space="preserve">app_name:original_column_name</w:t>
      </w:r>
      <w:r>
        <w:t xml:space="preserve">. Multiple aliases are supported (a canonical column may have aliases from several source apps).</w:t>
      </w:r>
    </w:p>
    <w:bookmarkStart w:id="27" w:name="X75b9b5d7db7ad6c02b3f0856b9e3dbadbaa35d4"/>
    <w:p>
      <w:pPr>
        <w:pStyle w:val="Heading3"/>
      </w:pPr>
      <w:r>
        <w:t xml:space="preserve">Worked example —</w:t>
      </w:r>
      <w:r>
        <w:t xml:space="preserve"> </w:t>
      </w:r>
      <w:r>
        <w:rPr>
          <w:rStyle w:val="VerbatimChar"/>
        </w:rPr>
        <w:t xml:space="preserve">counterparty_internal_rating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cpIntRtg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xvala:cpIntRtg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internal_rating_cd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cmos:internal_rating_cd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ctp_irating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regds:ctp_irating</w:t>
            </w:r>
          </w:p>
        </w:tc>
      </w:tr>
    </w:tbl>
    <w:p>
      <w:pPr>
        <w:pStyle w:val="BodyText"/>
      </w:pPr>
      <w:r>
        <w:t xml:space="preserve">All three are stored as multi-value entries in the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tag on</w:t>
      </w:r>
      <w:r>
        <w:t xml:space="preserve"> </w:t>
      </w:r>
      <w:r>
        <w:rPr>
          <w:rStyle w:val="VerbatimChar"/>
        </w:rPr>
        <w:t xml:space="preserve">creditrisk.conformed.dim_counterparty.counterparty_internal_rating</w:t>
      </w:r>
      <w:r>
        <w:t xml:space="preserve">.</w:t>
      </w:r>
    </w:p>
    <w:bookmarkEnd w:id="27"/>
    <w:bookmarkStart w:id="28" w:name="reverse-lookup"/>
    <w:p>
      <w:pPr>
        <w:pStyle w:val="Heading3"/>
      </w:pPr>
      <w:r>
        <w:t xml:space="preserve">Reverse lookup</w:t>
      </w:r>
    </w:p>
    <w:p>
      <w:pPr>
        <w:pStyle w:val="FirstParagraph"/>
      </w:pPr>
      <w:r>
        <w:t xml:space="preserve">To 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canonical column does XVALA’s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cpIntRtg</w:t>
      </w:r>
      <w:r>
        <w:rPr>
          <w:iCs/>
          <w:i/>
        </w:rPr>
        <w:t xml:space="preserve"> </w:t>
      </w:r>
      <w:r>
        <w:rPr>
          <w:iCs/>
          <w:i/>
        </w:rPr>
        <w:t xml:space="preserve">map to?</w:t>
      </w:r>
      <w:r>
        <w:rPr>
          <w:iCs/>
          <w:i/>
        </w:rPr>
        <w:t xml:space="preserve">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table_catalog,</w:t>
      </w:r>
      <w:r>
        <w:br/>
      </w:r>
      <w:r>
        <w:rPr>
          <w:rStyle w:val="NormalTok"/>
        </w:rPr>
        <w:t xml:space="preserve">  table_schema,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column_name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.information_schema.column_tags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tag_name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'aliases'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tag_value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'%xvala:cpIntRtg%'</w:t>
      </w:r>
      <w:r>
        <w:rPr>
          <w:rStyle w:val="NormalTok"/>
        </w:rPr>
        <w:t xml:space="preserve">;</w:t>
      </w:r>
    </w:p>
    <w:bookmarkEnd w:id="28"/>
    <w:bookmarkEnd w:id="29"/>
    <w:bookmarkStart w:id="30" w:name="rationalising-legacy-names"/>
    <w:p>
      <w:pPr>
        <w:pStyle w:val="Heading2"/>
      </w:pPr>
      <w:r>
        <w:t xml:space="preserve">Rationalising legacy names</w:t>
      </w:r>
    </w:p>
    <w:p>
      <w:pPr>
        <w:pStyle w:val="FirstParagraph"/>
      </w:pPr>
      <w:r>
        <w:t xml:space="preserve">When an app’s existing columns don’t match the standard, three 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Translate at conformance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cases — apps keep their names; canonical names start at the PG conformed schema; aliases preserve the mapping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unchanged; conformance layer carries the 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Rename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the app team is independently refactoring or when a regulatory driver requires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migration; coordinate with App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 where naming doesn’t matter (deprecated schemas, sandbox-only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explicitly; not the long-term answer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default is translate-at-conformance.</w:t>
      </w:r>
      <w:r>
        <w:t xml:space="preserve"> </w:t>
      </w:r>
      <w:r>
        <w:t xml:space="preserve">Apps are not pressured to rename. The PG conformed schema is where standards take effect.</w:t>
      </w:r>
    </w:p>
    <w:bookmarkEnd w:id="30"/>
    <w:bookmarkStart w:id="31" w:name="where-uc-tags-carry-the-naming-metadata"/>
    <w:p>
      <w:pPr>
        <w:pStyle w:val="Heading2"/>
      </w:pPr>
      <w:r>
        <w:t xml:space="preserve">Where UC tags carry the naming metadata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plain-English business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 Internal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derived short form (only if 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cp_int_rating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Multi-value: comma-separated</w:t>
            </w:r>
            <w:r>
              <w:t xml:space="preserve"> </w:t>
            </w:r>
            <w:r>
              <w:rPr>
                <w:rStyle w:val="VerbatimChar"/>
              </w:rPr>
              <w:t xml:space="preserve">app:colname</w:t>
            </w:r>
            <w:r>
              <w:t xml:space="preserve"> </w:t>
            </w: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xvala:cpIntRtg,cmos:internal_rating_cd,regds:ctp_irating</w:t>
            </w:r>
          </w:p>
        </w:tc>
      </w:tr>
    </w:tbl>
    <w:p>
      <w:pPr>
        <w:pStyle w:val="BodyText"/>
      </w:pPr>
      <w:r>
        <w:t xml:space="preserve">These three tags are applied at the column level (not the table level) and are populated from the contract YAML. See</w:t>
      </w:r>
      <w:r>
        <w:t xml:space="preserve"> </w:t>
      </w:r>
      <w:r>
        <w:rPr>
          <w:iCs/>
          <w:i/>
        </w:rPr>
        <w:t xml:space="preserve">Data Contract Attribute Spec</w:t>
      </w:r>
      <w:r>
        <w:t xml:space="preserve"> </w:t>
      </w:r>
      <w:r>
        <w:t xml:space="preserve">for the full attribute set.</w:t>
      </w:r>
    </w:p>
    <w:bookmarkEnd w:id="31"/>
    <w:bookmarkStart w:id="32" w:name="automation"/>
    <w:p>
      <w:pPr>
        <w:pStyle w:val="Heading2"/>
      </w:pPr>
      <w:r>
        <w:t xml:space="preserve">Automation</w:t>
      </w:r>
    </w:p>
    <w:p>
      <w:pPr>
        <w:pStyle w:val="FirstParagraph"/>
      </w:pPr>
      <w:r>
        <w:t xml:space="preserve">The naming convention is enforced through three mechanisms: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Pre-contract validation.</w:t>
      </w:r>
      <w:r>
        <w:t xml:space="preserve"> </w:t>
      </w:r>
      <w:r>
        <w:t xml:space="preserve">A linter validates contract YAML against the rules above before the contract is committed to Git.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UC tag application.</w:t>
      </w:r>
      <w:r>
        <w:t xml:space="preserve"> </w:t>
      </w:r>
      <w:r>
        <w:t xml:space="preserve">The contract YAML drives the</w:t>
      </w:r>
      <w:r>
        <w:t xml:space="preserve"> </w:t>
      </w:r>
      <w:r>
        <w:rPr>
          <w:rStyle w:val="VerbatimChar"/>
        </w:rPr>
        <w:t xml:space="preserve">ALTER TABLE SET 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COLUMN SET TAGS</w:t>
      </w:r>
      <w:r>
        <w:t xml:space="preserve"> </w:t>
      </w:r>
      <w:r>
        <w:t xml:space="preserve">statements.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Reverse-lookup utility.</w:t>
      </w:r>
      <w:r>
        <w:t xml:space="preserve"> </w:t>
      </w:r>
      <w:r>
        <w:t xml:space="preserve">A Python helper (in the Risk Warehouse Git repo) provides</w:t>
      </w:r>
      <w:r>
        <w:t xml:space="preserve"> </w:t>
      </w:r>
      <w:r>
        <w:rPr>
          <w:rStyle w:val="VerbatimChar"/>
        </w:rPr>
        <w:t xml:space="preserve">find_canonical_column(app, original_name)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find_aliases(canonical_name)</w:t>
      </w:r>
      <w:r>
        <w:t xml:space="preserve"> </w:t>
      </w:r>
      <w:r>
        <w:t xml:space="preserve">functions for engineering 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See Section G — Abbreviations Dictionary for the canonical list of short-form abbreviations.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2026-05-12T01:59:13Z</dcterms:created>
  <dcterms:modified xsi:type="dcterms:W3CDTF">2026-05-12T01:59:13Z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