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TD Securities - Credit Derivatives Data &amp; Analytics Platform</w:t>
      </w:r>
    </w:p>
    <w:p>
      <w:pPr>
        <w:jc w:val="center"/>
      </w:pPr>
      <w:r>
        <w:rPr>
          <w:b/>
          <w:sz w:val="24"/>
        </w:rPr>
        <w:t>Technology Landscape, Requirements, and Architecture Considerations</w:t>
      </w:r>
    </w:p>
    <w:p>
      <w:r>
        <w:t>Draft working document based on stakeholder discussion. This document is intended to structure the problem space, identify architectural decisions required, and frame the requirements for evaluating the target technology stack or combination of technologies.</w:t>
      </w:r>
    </w:p>
    <w:p>
      <w:pPr>
        <w:pStyle w:val="Heading1"/>
      </w:pPr>
      <w:r>
        <w:t>1. Executive Summary</w:t>
      </w:r>
    </w:p>
    <w:p>
      <w:r>
        <w:t>TD Securities is evaluating how to rationalize and connect multiple data and analytics technologies across the Credit Derivatives ecosystem. The desired environment must support real-time trade visibility for front-office users, near real-time and end-of-day analytics, enterprise-grade data consistency, and governed access to trade, reference, market, risk, and analytics data.</w:t>
      </w:r>
    </w:p>
    <w:p>
      <w:pPr>
        <w:pStyle w:val="ListBullet"/>
      </w:pPr>
      <w:r>
        <w:t>The current landscape includes vendor trading platforms, desk-owned K+DB environments, Veritas data services, InfoP/CDM on Cloudera with Iceberg and Dremio, risk workloads moving to Databricks Delta Lake / TDVIP, and potential use of DeepHaven.</w:t>
      </w:r>
    </w:p>
    <w:p>
      <w:pPr>
        <w:pStyle w:val="ListBullet"/>
      </w:pPr>
      <w:r>
        <w:t>The key architectural challenge is not simply selecting a database or query engine; it is defining which platform owns which workload, which semantic model is authoritative, how real-time events flow across platforms, and how metadata and governance are unified.</w:t>
      </w:r>
    </w:p>
    <w:p>
      <w:pPr>
        <w:pStyle w:val="ListBullet"/>
      </w:pPr>
      <w:r>
        <w:t>The target architecture should avoid shifting integration complexity to front-office applications through multiple disconnected API calls.</w:t>
      </w:r>
    </w:p>
    <w:p>
      <w:pPr>
        <w:pStyle w:val="ListBullet"/>
      </w:pPr>
      <w:r>
        <w:t>Network placement, latency, catalog interoperability, real-time ingestion, governance, lineage, and domain ownership must be treated as first-class requirements.</w:t>
      </w:r>
    </w:p>
    <w:p>
      <w:pPr>
        <w:pStyle w:val="Heading1"/>
      </w:pPr>
      <w:r>
        <w:t>2. Business Goals and Outcomes</w:t>
      </w:r>
    </w:p>
    <w:p>
      <w:pPr>
        <w:pStyle w:val="ListBullet"/>
      </w:pPr>
      <w:r>
        <w:t>Provide traders with real-time or near real-time visibility into trade details, enriched trade attributes, and selected risk metrics.</w:t>
      </w:r>
    </w:p>
    <w:p>
      <w:pPr>
        <w:pStyle w:val="ListBullet"/>
      </w:pPr>
      <w:r>
        <w:t>Enable analytics teams to run intra-day, near real-time, and end-of-day analytics over consistent data sets.</w:t>
      </w:r>
    </w:p>
    <w:p>
      <w:pPr>
        <w:pStyle w:val="ListBullet"/>
      </w:pPr>
      <w:r>
        <w:t>Create consistent domain data across trade, reference, market, rates, credit reference, collateral, margin, P&amp;L, and risk metrics.</w:t>
      </w:r>
    </w:p>
    <w:p>
      <w:pPr>
        <w:pStyle w:val="ListBullet"/>
      </w:pPr>
      <w:r>
        <w:t>Reduce duplicated reference data, duplicated enrichment logic, and desk-specific semantic divergence.</w:t>
      </w:r>
    </w:p>
    <w:p>
      <w:pPr>
        <w:pStyle w:val="ListBullet"/>
      </w:pPr>
      <w:r>
        <w:t>Enable cross-domain integration without forcing each consuming application to stitch data together through multiple independent APIs.</w:t>
      </w:r>
    </w:p>
    <w:p>
      <w:pPr>
        <w:pStyle w:val="ListBullet"/>
      </w:pPr>
      <w:r>
        <w:t>Provide a unified catalog and discoverability experience through Unity Catalog, including metadata from InfoP/CDM where required.</w:t>
      </w:r>
    </w:p>
    <w:p>
      <w:pPr>
        <w:pStyle w:val="ListBullet"/>
      </w:pPr>
      <w:r>
        <w:t>Define clear workload placement: when to use K+DB, Veritas, InfoP/CDM, Dremio, Databricks SQL Warehouse, Delta Lake, and DeepHaven.</w:t>
      </w:r>
    </w:p>
    <w:p>
      <w:pPr>
        <w:pStyle w:val="Heading1"/>
      </w:pPr>
      <w:r>
        <w:t>3. Current State Landscape</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D9EAD3"/>
          </w:tcPr>
          <w:p>
            <w:r/>
            <w:r>
              <w:rPr>
                <w:b/>
                <w:sz w:val="18"/>
              </w:rPr>
              <w:t>Component</w:t>
            </w:r>
          </w:p>
        </w:tc>
        <w:tc>
          <w:tcPr>
            <w:tcW w:type="dxa" w:w="8208"/>
            <w:vAlign w:val="top"/>
            <w:shd w:fill="D9EAD3"/>
          </w:tcPr>
          <w:p>
            <w:r/>
            <w:r>
              <w:rPr>
                <w:b/>
                <w:sz w:val="18"/>
              </w:rPr>
              <w:t>Current / Potential Role</w:t>
            </w:r>
          </w:p>
        </w:tc>
      </w:tr>
      <w:tr>
        <w:tc>
          <w:tcPr>
            <w:tcW w:type="dxa" w:w="2880"/>
            <w:vAlign w:val="top"/>
          </w:tcPr>
          <w:p>
            <w:r/>
            <w:r>
              <w:rPr>
                <w:b w:val="0"/>
                <w:sz w:val="18"/>
              </w:rPr>
              <w:t>Front Office TMS Platforms</w:t>
            </w:r>
          </w:p>
        </w:tc>
        <w:tc>
          <w:tcPr>
            <w:tcW w:type="dxa" w:w="8208"/>
            <w:vAlign w:val="top"/>
          </w:tcPr>
          <w:p>
            <w:r/>
            <w:r>
              <w:rPr>
                <w:b w:val="0"/>
                <w:sz w:val="18"/>
              </w:rPr>
              <w:t>Calypso, Sophis, Murex, and other vendor systems used for trade capture and lifecycle management. These are operational vendor platforms, not necessarily optimized for local analytical access or cross-domain analytics.</w:t>
            </w:r>
          </w:p>
        </w:tc>
      </w:tr>
      <w:tr>
        <w:tc>
          <w:tcPr>
            <w:tcW w:type="dxa" w:w="2880"/>
            <w:vAlign w:val="top"/>
          </w:tcPr>
          <w:p>
            <w:r/>
            <w:r>
              <w:rPr>
                <w:b w:val="0"/>
                <w:sz w:val="18"/>
              </w:rPr>
              <w:t>Desk K+DB Environments</w:t>
            </w:r>
          </w:p>
        </w:tc>
        <w:tc>
          <w:tcPr>
            <w:tcW w:type="dxa" w:w="8208"/>
            <w:vAlign w:val="top"/>
          </w:tcPr>
          <w:p>
            <w:r/>
            <w:r>
              <w:rPr>
                <w:b w:val="0"/>
                <w:sz w:val="18"/>
              </w:rPr>
              <w:t>Desk-level K+DB stores ingest real-time trade data, enrich it with reference and market data, and expose data to front-office users via APIs or terminals. These are low-latency and business-focused but can create duplicated data and semantics.</w:t>
            </w:r>
          </w:p>
        </w:tc>
      </w:tr>
      <w:tr>
        <w:tc>
          <w:tcPr>
            <w:tcW w:type="dxa" w:w="2880"/>
            <w:vAlign w:val="top"/>
          </w:tcPr>
          <w:p>
            <w:r/>
            <w:r>
              <w:rPr>
                <w:b w:val="0"/>
                <w:sz w:val="18"/>
              </w:rPr>
              <w:t>Reference / Market / Rates / Credit Data Sources</w:t>
            </w:r>
          </w:p>
        </w:tc>
        <w:tc>
          <w:tcPr>
            <w:tcW w:type="dxa" w:w="8208"/>
            <w:vAlign w:val="top"/>
          </w:tcPr>
          <w:p>
            <w:r/>
            <w:r>
              <w:rPr>
                <w:b w:val="0"/>
                <w:sz w:val="18"/>
              </w:rPr>
              <w:t>Multiple upstream sources provide enrichment data. Desks may source directly from domain systems or from Veritas APIs, creating potential inconsistency in source-of-truth selection.</w:t>
            </w:r>
          </w:p>
        </w:tc>
      </w:tr>
      <w:tr>
        <w:tc>
          <w:tcPr>
            <w:tcW w:type="dxa" w:w="2880"/>
            <w:vAlign w:val="top"/>
          </w:tcPr>
          <w:p>
            <w:r/>
            <w:r>
              <w:rPr>
                <w:b w:val="0"/>
                <w:sz w:val="18"/>
              </w:rPr>
              <w:t>Veritas Data Services</w:t>
            </w:r>
          </w:p>
        </w:tc>
        <w:tc>
          <w:tcPr>
            <w:tcW w:type="dxa" w:w="8208"/>
            <w:vAlign w:val="top"/>
          </w:tcPr>
          <w:p>
            <w:r/>
            <w:r>
              <w:rPr>
                <w:b w:val="0"/>
                <w:sz w:val="18"/>
              </w:rPr>
              <w:t>Current data service layer that exposes data through APIs. Veritas has its own data model, semantics, and joining/funding logic across domains. It may be consumed by downstream platforms but is not the same as the CDM model.</w:t>
            </w:r>
          </w:p>
        </w:tc>
      </w:tr>
      <w:tr>
        <w:tc>
          <w:tcPr>
            <w:tcW w:type="dxa" w:w="2880"/>
            <w:vAlign w:val="top"/>
          </w:tcPr>
          <w:p>
            <w:r/>
            <w:r>
              <w:rPr>
                <w:b w:val="0"/>
                <w:sz w:val="18"/>
              </w:rPr>
              <w:t>InfoP / Conformed Data Model (CDM)</w:t>
            </w:r>
          </w:p>
        </w:tc>
        <w:tc>
          <w:tcPr>
            <w:tcW w:type="dxa" w:w="8208"/>
            <w:vAlign w:val="top"/>
          </w:tcPr>
          <w:p>
            <w:r/>
            <w:r>
              <w:rPr>
                <w:b w:val="0"/>
                <w:sz w:val="18"/>
              </w:rPr>
              <w:t>Enterprise initiative for conformed trade, reference, market, rates, and other domain data. Currently resides in Cloudera using Apache Iceberg tables and is distributed/queryable through Dremio. CDM semantics differ from Veritas semantics.</w:t>
            </w:r>
          </w:p>
        </w:tc>
      </w:tr>
      <w:tr>
        <w:tc>
          <w:tcPr>
            <w:tcW w:type="dxa" w:w="2880"/>
            <w:vAlign w:val="top"/>
          </w:tcPr>
          <w:p>
            <w:r/>
            <w:r>
              <w:rPr>
                <w:b w:val="0"/>
                <w:sz w:val="18"/>
              </w:rPr>
              <w:t>Dremio</w:t>
            </w:r>
          </w:p>
        </w:tc>
        <w:tc>
          <w:tcPr>
            <w:tcW w:type="dxa" w:w="8208"/>
            <w:vAlign w:val="top"/>
          </w:tcPr>
          <w:p>
            <w:r/>
            <w:r>
              <w:rPr>
                <w:b w:val="0"/>
                <w:sz w:val="18"/>
              </w:rPr>
              <w:t>Acts as query/distribution layer over InfoP/CDM and potentially as a bridge to expose InfoP metadata to Unity Catalog. Its suitability for real-time workloads and reflection-based acceleration must be assessed.</w:t>
            </w:r>
          </w:p>
        </w:tc>
      </w:tr>
      <w:tr>
        <w:tc>
          <w:tcPr>
            <w:tcW w:type="dxa" w:w="2880"/>
            <w:vAlign w:val="top"/>
          </w:tcPr>
          <w:p>
            <w:r/>
            <w:r>
              <w:rPr>
                <w:b w:val="0"/>
                <w:sz w:val="18"/>
              </w:rPr>
              <w:t>TDVIP / Databricks Delta Lake</w:t>
            </w:r>
          </w:p>
        </w:tc>
        <w:tc>
          <w:tcPr>
            <w:tcW w:type="dxa" w:w="8208"/>
            <w:vAlign w:val="top"/>
          </w:tcPr>
          <w:p>
            <w:r/>
            <w:r>
              <w:rPr>
                <w:b w:val="0"/>
                <w:sz w:val="18"/>
              </w:rPr>
              <w:t>Risk platform direction where risk data and workloads are moving into Databricks Delta Lake. Supports data engineering, analytics, SQL warehouse, and governed access through Unity Catalog.</w:t>
            </w:r>
          </w:p>
        </w:tc>
      </w:tr>
      <w:tr>
        <w:tc>
          <w:tcPr>
            <w:tcW w:type="dxa" w:w="2880"/>
            <w:vAlign w:val="top"/>
          </w:tcPr>
          <w:p>
            <w:r/>
            <w:r>
              <w:rPr>
                <w:b w:val="0"/>
                <w:sz w:val="18"/>
              </w:rPr>
              <w:t>Unity Catalog</w:t>
            </w:r>
          </w:p>
        </w:tc>
        <w:tc>
          <w:tcPr>
            <w:tcW w:type="dxa" w:w="8208"/>
            <w:vAlign w:val="top"/>
          </w:tcPr>
          <w:p>
            <w:r/>
            <w:r>
              <w:rPr>
                <w:b w:val="0"/>
                <w:sz w:val="18"/>
              </w:rPr>
              <w:t>Desired single metadata and governance catalog experience. Users should be able to discover InfoP/CDM and TDVIP/Risk data through a consistent catalog experience.</w:t>
            </w:r>
          </w:p>
        </w:tc>
      </w:tr>
      <w:tr>
        <w:tc>
          <w:tcPr>
            <w:tcW w:type="dxa" w:w="2880"/>
            <w:vAlign w:val="top"/>
          </w:tcPr>
          <w:p>
            <w:r/>
            <w:r>
              <w:rPr>
                <w:b w:val="0"/>
                <w:sz w:val="18"/>
              </w:rPr>
              <w:t>DeepHaven</w:t>
            </w:r>
          </w:p>
        </w:tc>
        <w:tc>
          <w:tcPr>
            <w:tcW w:type="dxa" w:w="8208"/>
            <w:vAlign w:val="top"/>
          </w:tcPr>
          <w:p>
            <w:r/>
            <w:r>
              <w:rPr>
                <w:b w:val="0"/>
                <w:sz w:val="18"/>
              </w:rPr>
              <w:t>Candidate technology to evaluate for real-time, event-driven, streaming, or interactive data workloads. Its target role must be clarified relative to K+DB, Databricks, and Dremio.</w:t>
            </w:r>
          </w:p>
        </w:tc>
      </w:tr>
    </w:tbl>
    <w:p>
      <w:pPr>
        <w:pStyle w:val="Heading1"/>
      </w:pPr>
      <w:r>
        <w:t>4. Problem Statement</w:t>
      </w:r>
    </w:p>
    <w:p>
      <w:r>
        <w:t>The current environment has multiple platforms that can store, transform, expose, and analyze trade and risk data. Without a clear architecture, TD Securities risks creating another layer of fragmentation rather than solving the existing fragmentation.</w:t>
      </w:r>
    </w:p>
    <w:p>
      <w:pPr>
        <w:pStyle w:val="ListBullet"/>
      </w:pPr>
      <w:r>
        <w:t>Desk K+DBs solve low-latency desk needs but duplicate data and semantics.</w:t>
      </w:r>
    </w:p>
    <w:p>
      <w:pPr>
        <w:pStyle w:val="ListBullet"/>
      </w:pPr>
      <w:r>
        <w:t>Veritas APIs provide existing data services but use a model and semantics that differ from the enterprise CDM.</w:t>
      </w:r>
    </w:p>
    <w:p>
      <w:pPr>
        <w:pStyle w:val="ListBullet"/>
      </w:pPr>
      <w:r>
        <w:t>InfoP/CDM provides enterprise conformance but currently resides on a different stack from TDVIP/Risk Databricks.</w:t>
      </w:r>
    </w:p>
    <w:p>
      <w:pPr>
        <w:pStyle w:val="ListBullet"/>
      </w:pPr>
      <w:r>
        <w:t>Dremio may bridge Cloudera and Databricks metadata/query needs, but its real-time suitability must be validated.</w:t>
      </w:r>
    </w:p>
    <w:p>
      <w:pPr>
        <w:pStyle w:val="ListBullet"/>
      </w:pPr>
      <w:r>
        <w:t>Databricks may support analytics and governed access, but its role as a front-office real-time trade inquiry platform must be assessed.</w:t>
      </w:r>
    </w:p>
    <w:p>
      <w:pPr>
        <w:pStyle w:val="ListBullet"/>
      </w:pPr>
      <w:r>
        <w:t>Front-office applications may be forced to call multiple APIs unless an integrated serving layer or domain service pattern is defined.</w:t>
      </w:r>
    </w:p>
    <w:p>
      <w:pPr>
        <w:pStyle w:val="ListBullet"/>
      </w:pPr>
      <w:r>
        <w:t>DeepHaven adds another potential real-time technology; its role must be explicitly positioned to avoid overlap.</w:t>
      </w:r>
    </w:p>
    <w:p>
      <w:pPr>
        <w:pStyle w:val="Heading1"/>
      </w:pPr>
      <w:r>
        <w:t>5. Target-State Architecture Principles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D3"/>
          </w:tcPr>
          <w:p>
            <w:r/>
            <w:r>
              <w:rPr>
                <w:b/>
                <w:sz w:val="18"/>
              </w:rPr>
              <w:t>Principle</w:t>
            </w:r>
          </w:p>
        </w:tc>
        <w:tc>
          <w:tcPr>
            <w:tcW w:type="dxa" w:w="8064"/>
            <w:vAlign w:val="top"/>
            <w:shd w:fill="D9EAD3"/>
          </w:tcPr>
          <w:p>
            <w:r/>
            <w:r>
              <w:rPr>
                <w:b/>
                <w:sz w:val="18"/>
              </w:rPr>
              <w:t>Description</w:t>
            </w:r>
          </w:p>
        </w:tc>
      </w:tr>
      <w:tr>
        <w:tc>
          <w:tcPr>
            <w:tcW w:type="dxa" w:w="3024"/>
            <w:vAlign w:val="top"/>
          </w:tcPr>
          <w:p>
            <w:r/>
            <w:r>
              <w:rPr>
                <w:b w:val="0"/>
                <w:sz w:val="18"/>
              </w:rPr>
              <w:t>One logical catalog experience</w:t>
            </w:r>
          </w:p>
        </w:tc>
        <w:tc>
          <w:tcPr>
            <w:tcW w:type="dxa" w:w="8064"/>
            <w:vAlign w:val="top"/>
          </w:tcPr>
          <w:p>
            <w:r/>
            <w:r>
              <w:rPr>
                <w:b w:val="0"/>
                <w:sz w:val="18"/>
              </w:rPr>
              <w:t>Unity Catalog should be the primary catalog and governance entry point for users, even where physical data remains on InfoP/Cloudera.</w:t>
            </w:r>
          </w:p>
        </w:tc>
      </w:tr>
      <w:tr>
        <w:tc>
          <w:tcPr>
            <w:tcW w:type="dxa" w:w="3024"/>
            <w:vAlign w:val="top"/>
          </w:tcPr>
          <w:p>
            <w:r/>
            <w:r>
              <w:rPr>
                <w:b w:val="0"/>
                <w:sz w:val="18"/>
              </w:rPr>
              <w:t>Workload-fit technology selection</w:t>
            </w:r>
          </w:p>
        </w:tc>
        <w:tc>
          <w:tcPr>
            <w:tcW w:type="dxa" w:w="8064"/>
            <w:vAlign w:val="top"/>
          </w:tcPr>
          <w:p>
            <w:r/>
            <w:r>
              <w:rPr>
                <w:b w:val="0"/>
                <w:sz w:val="18"/>
              </w:rPr>
              <w:t>Do not force all workloads onto one platform. Use each technology where it is strongest: real-time serving, batch analytics, governed warehouse querying, risk compute, or domain APIs.</w:t>
            </w:r>
          </w:p>
        </w:tc>
      </w:tr>
      <w:tr>
        <w:tc>
          <w:tcPr>
            <w:tcW w:type="dxa" w:w="3024"/>
            <w:vAlign w:val="top"/>
          </w:tcPr>
          <w:p>
            <w:r/>
            <w:r>
              <w:rPr>
                <w:b w:val="0"/>
                <w:sz w:val="18"/>
              </w:rPr>
              <w:t>Authoritative domain ownership</w:t>
            </w:r>
          </w:p>
        </w:tc>
        <w:tc>
          <w:tcPr>
            <w:tcW w:type="dxa" w:w="8064"/>
            <w:vAlign w:val="top"/>
          </w:tcPr>
          <w:p>
            <w:r/>
            <w:r>
              <w:rPr>
                <w:b w:val="0"/>
                <w:sz w:val="18"/>
              </w:rPr>
              <w:t>Define which platform owns trade truth, enriched trade truth, reference truth, risk metric truth, and semantic definitions.</w:t>
            </w:r>
          </w:p>
        </w:tc>
      </w:tr>
      <w:tr>
        <w:tc>
          <w:tcPr>
            <w:tcW w:type="dxa" w:w="3024"/>
            <w:vAlign w:val="top"/>
          </w:tcPr>
          <w:p>
            <w:r/>
            <w:r>
              <w:rPr>
                <w:b w:val="0"/>
                <w:sz w:val="18"/>
              </w:rPr>
              <w:t>Avoid duplicated semantics</w:t>
            </w:r>
          </w:p>
        </w:tc>
        <w:tc>
          <w:tcPr>
            <w:tcW w:type="dxa" w:w="8064"/>
            <w:vAlign w:val="top"/>
          </w:tcPr>
          <w:p>
            <w:r/>
            <w:r>
              <w:rPr>
                <w:b w:val="0"/>
                <w:sz w:val="18"/>
              </w:rPr>
              <w:t>CDM, Veritas, K+DB, and risk data models must be mapped and governed to reduce conflicting definitions.</w:t>
            </w:r>
          </w:p>
        </w:tc>
      </w:tr>
      <w:tr>
        <w:tc>
          <w:tcPr>
            <w:tcW w:type="dxa" w:w="3024"/>
            <w:vAlign w:val="top"/>
          </w:tcPr>
          <w:p>
            <w:r/>
            <w:r>
              <w:rPr>
                <w:b w:val="0"/>
                <w:sz w:val="18"/>
              </w:rPr>
              <w:t>Minimize front-office stitching</w:t>
            </w:r>
          </w:p>
        </w:tc>
        <w:tc>
          <w:tcPr>
            <w:tcW w:type="dxa" w:w="8064"/>
            <w:vAlign w:val="top"/>
          </w:tcPr>
          <w:p>
            <w:r/>
            <w:r>
              <w:rPr>
                <w:b w:val="0"/>
                <w:sz w:val="18"/>
              </w:rPr>
              <w:t>Do not require traders or front-office UIs to integrate multiple APIs to form one business view unless there is a deliberate composite API or semantic serving layer.</w:t>
            </w:r>
          </w:p>
        </w:tc>
      </w:tr>
      <w:tr>
        <w:tc>
          <w:tcPr>
            <w:tcW w:type="dxa" w:w="3024"/>
            <w:vAlign w:val="top"/>
          </w:tcPr>
          <w:p>
            <w:r/>
            <w:r>
              <w:rPr>
                <w:b w:val="0"/>
                <w:sz w:val="18"/>
              </w:rPr>
              <w:t>Latency is an architecture requirement</w:t>
            </w:r>
          </w:p>
        </w:tc>
        <w:tc>
          <w:tcPr>
            <w:tcW w:type="dxa" w:w="8064"/>
            <w:vAlign w:val="top"/>
          </w:tcPr>
          <w:p>
            <w:r/>
            <w:r>
              <w:rPr>
                <w:b w:val="0"/>
                <w:sz w:val="18"/>
              </w:rPr>
              <w:t>Network proximity, event propagation, query latency, and refresh frequency must be explicitly designed, measured, and governed.</w:t>
            </w:r>
          </w:p>
        </w:tc>
      </w:tr>
      <w:tr>
        <w:tc>
          <w:tcPr>
            <w:tcW w:type="dxa" w:w="3024"/>
            <w:vAlign w:val="top"/>
          </w:tcPr>
          <w:p>
            <w:r/>
            <w:r>
              <w:rPr>
                <w:b w:val="0"/>
                <w:sz w:val="18"/>
              </w:rPr>
              <w:t>Real-time and batch are separate patterns</w:t>
            </w:r>
          </w:p>
        </w:tc>
        <w:tc>
          <w:tcPr>
            <w:tcW w:type="dxa" w:w="8064"/>
            <w:vAlign w:val="top"/>
          </w:tcPr>
          <w:p>
            <w:r/>
            <w:r>
              <w:rPr>
                <w:b w:val="0"/>
                <w:sz w:val="18"/>
              </w:rPr>
              <w:t>Real-time trade inquiry, streaming enrichment, intraday analytics, and end-of-day analytics may require different technology paths.</w:t>
            </w:r>
          </w:p>
        </w:tc>
      </w:tr>
      <w:tr>
        <w:tc>
          <w:tcPr>
            <w:tcW w:type="dxa" w:w="3024"/>
            <w:vAlign w:val="top"/>
          </w:tcPr>
          <w:p>
            <w:r/>
            <w:r>
              <w:rPr>
                <w:b w:val="0"/>
                <w:sz w:val="18"/>
              </w:rPr>
              <w:t>Coexistence before consolidation</w:t>
            </w:r>
          </w:p>
        </w:tc>
        <w:tc>
          <w:tcPr>
            <w:tcW w:type="dxa" w:w="8064"/>
            <w:vAlign w:val="top"/>
          </w:tcPr>
          <w:p>
            <w:r/>
            <w:r>
              <w:rPr>
                <w:b w:val="0"/>
                <w:sz w:val="18"/>
              </w:rPr>
              <w:t>Near-term target should define controlled coexistence; longer-term target may rationalize platforms after data ownership and workload patterns are proven.</w:t>
            </w:r>
          </w:p>
        </w:tc>
      </w:tr>
    </w:tbl>
    <w:p>
      <w:pPr>
        <w:pStyle w:val="Heading1"/>
      </w:pPr>
      <w:r>
        <w:t>6. 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top"/>
            <w:shd w:fill="D9EAD3"/>
          </w:tcPr>
          <w:p>
            <w:r/>
            <w:r>
              <w:rPr>
                <w:b/>
                <w:sz w:val="18"/>
              </w:rPr>
              <w:t>ID</w:t>
            </w:r>
          </w:p>
        </w:tc>
        <w:tc>
          <w:tcPr>
            <w:tcW w:type="dxa" w:w="2592"/>
            <w:vAlign w:val="top"/>
            <w:shd w:fill="D9EAD3"/>
          </w:tcPr>
          <w:p>
            <w:r/>
            <w:r>
              <w:rPr>
                <w:b/>
                <w:sz w:val="18"/>
              </w:rPr>
              <w:t>Requirement</w:t>
            </w:r>
          </w:p>
        </w:tc>
        <w:tc>
          <w:tcPr>
            <w:tcW w:type="dxa" w:w="7488"/>
            <w:vAlign w:val="top"/>
            <w:shd w:fill="D9EAD3"/>
          </w:tcPr>
          <w:p>
            <w:r/>
            <w:r>
              <w:rPr>
                <w:b/>
                <w:sz w:val="18"/>
              </w:rPr>
              <w:t>Description</w:t>
            </w:r>
          </w:p>
        </w:tc>
      </w:tr>
      <w:tr>
        <w:tc>
          <w:tcPr>
            <w:tcW w:type="dxa" w:w="1008"/>
            <w:vAlign w:val="top"/>
          </w:tcPr>
          <w:p>
            <w:r/>
            <w:r>
              <w:rPr>
                <w:b w:val="0"/>
                <w:sz w:val="18"/>
              </w:rPr>
              <w:t>FR-01</w:t>
            </w:r>
          </w:p>
        </w:tc>
        <w:tc>
          <w:tcPr>
            <w:tcW w:type="dxa" w:w="2592"/>
            <w:vAlign w:val="top"/>
          </w:tcPr>
          <w:p>
            <w:r/>
            <w:r>
              <w:rPr>
                <w:b w:val="0"/>
                <w:sz w:val="18"/>
              </w:rPr>
              <w:t>Real-time trade visibility</w:t>
            </w:r>
          </w:p>
        </w:tc>
        <w:tc>
          <w:tcPr>
            <w:tcW w:type="dxa" w:w="7488"/>
            <w:vAlign w:val="top"/>
          </w:tcPr>
          <w:p>
            <w:r/>
            <w:r>
              <w:rPr>
                <w:b w:val="0"/>
                <w:sz w:val="18"/>
              </w:rPr>
              <w:t>Front-office users must be able to view current trade details with agreed latency targets.</w:t>
            </w:r>
          </w:p>
        </w:tc>
      </w:tr>
      <w:tr>
        <w:tc>
          <w:tcPr>
            <w:tcW w:type="dxa" w:w="1008"/>
            <w:vAlign w:val="top"/>
          </w:tcPr>
          <w:p>
            <w:r/>
            <w:r>
              <w:rPr>
                <w:b w:val="0"/>
                <w:sz w:val="18"/>
              </w:rPr>
              <w:t>FR-02</w:t>
            </w:r>
          </w:p>
        </w:tc>
        <w:tc>
          <w:tcPr>
            <w:tcW w:type="dxa" w:w="2592"/>
            <w:vAlign w:val="top"/>
          </w:tcPr>
          <w:p>
            <w:r/>
            <w:r>
              <w:rPr>
                <w:b w:val="0"/>
                <w:sz w:val="18"/>
              </w:rPr>
              <w:t>Trade enrichment</w:t>
            </w:r>
          </w:p>
        </w:tc>
        <w:tc>
          <w:tcPr>
            <w:tcW w:type="dxa" w:w="7488"/>
            <w:vAlign w:val="top"/>
          </w:tcPr>
          <w:p>
            <w:r/>
            <w:r>
              <w:rPr>
                <w:b w:val="0"/>
                <w:sz w:val="18"/>
              </w:rPr>
              <w:t>Trade data must be enriched with reference, market, rates, credit reference, counterparty, product, and other required attributes.</w:t>
            </w:r>
          </w:p>
        </w:tc>
      </w:tr>
      <w:tr>
        <w:tc>
          <w:tcPr>
            <w:tcW w:type="dxa" w:w="1008"/>
            <w:vAlign w:val="top"/>
          </w:tcPr>
          <w:p>
            <w:r/>
            <w:r>
              <w:rPr>
                <w:b w:val="0"/>
                <w:sz w:val="18"/>
              </w:rPr>
              <w:t>FR-03</w:t>
            </w:r>
          </w:p>
        </w:tc>
        <w:tc>
          <w:tcPr>
            <w:tcW w:type="dxa" w:w="2592"/>
            <w:vAlign w:val="top"/>
          </w:tcPr>
          <w:p>
            <w:r/>
            <w:r>
              <w:rPr>
                <w:b w:val="0"/>
                <w:sz w:val="18"/>
              </w:rPr>
              <w:t>Risk metric access</w:t>
            </w:r>
          </w:p>
        </w:tc>
        <w:tc>
          <w:tcPr>
            <w:tcW w:type="dxa" w:w="7488"/>
            <w:vAlign w:val="top"/>
          </w:tcPr>
          <w:p>
            <w:r/>
            <w:r>
              <w:rPr>
                <w:b w:val="0"/>
                <w:sz w:val="18"/>
              </w:rPr>
              <w:t>Users must be able to access relevant risk outputs such as XVA, sensitivities, P&amp;L, collateral, margin calls, and other approved metrics.</w:t>
            </w:r>
          </w:p>
        </w:tc>
      </w:tr>
      <w:tr>
        <w:tc>
          <w:tcPr>
            <w:tcW w:type="dxa" w:w="1008"/>
            <w:vAlign w:val="top"/>
          </w:tcPr>
          <w:p>
            <w:r/>
            <w:r>
              <w:rPr>
                <w:b w:val="0"/>
                <w:sz w:val="18"/>
              </w:rPr>
              <w:t>FR-04</w:t>
            </w:r>
          </w:p>
        </w:tc>
        <w:tc>
          <w:tcPr>
            <w:tcW w:type="dxa" w:w="2592"/>
            <w:vAlign w:val="top"/>
          </w:tcPr>
          <w:p>
            <w:r/>
            <w:r>
              <w:rPr>
                <w:b w:val="0"/>
                <w:sz w:val="18"/>
              </w:rPr>
              <w:t>Intraday analytics</w:t>
            </w:r>
          </w:p>
        </w:tc>
        <w:tc>
          <w:tcPr>
            <w:tcW w:type="dxa" w:w="7488"/>
            <w:vAlign w:val="top"/>
          </w:tcPr>
          <w:p>
            <w:r/>
            <w:r>
              <w:rPr>
                <w:b w:val="0"/>
                <w:sz w:val="18"/>
              </w:rPr>
              <w:t>Analytics users must be able to perform intraday analytics over current trade and risk data.</w:t>
            </w:r>
          </w:p>
        </w:tc>
      </w:tr>
      <w:tr>
        <w:tc>
          <w:tcPr>
            <w:tcW w:type="dxa" w:w="1008"/>
            <w:vAlign w:val="top"/>
          </w:tcPr>
          <w:p>
            <w:r/>
            <w:r>
              <w:rPr>
                <w:b w:val="0"/>
                <w:sz w:val="18"/>
              </w:rPr>
              <w:t>FR-05</w:t>
            </w:r>
          </w:p>
        </w:tc>
        <w:tc>
          <w:tcPr>
            <w:tcW w:type="dxa" w:w="2592"/>
            <w:vAlign w:val="top"/>
          </w:tcPr>
          <w:p>
            <w:r/>
            <w:r>
              <w:rPr>
                <w:b w:val="0"/>
                <w:sz w:val="18"/>
              </w:rPr>
              <w:t>End-of-day analytics</w:t>
            </w:r>
          </w:p>
        </w:tc>
        <w:tc>
          <w:tcPr>
            <w:tcW w:type="dxa" w:w="7488"/>
            <w:vAlign w:val="top"/>
          </w:tcPr>
          <w:p>
            <w:r/>
            <w:r>
              <w:rPr>
                <w:b w:val="0"/>
                <w:sz w:val="18"/>
              </w:rPr>
              <w:t>The platform must support scheduled EOD processing, reporting, and downstream feeds.</w:t>
            </w:r>
          </w:p>
        </w:tc>
      </w:tr>
      <w:tr>
        <w:tc>
          <w:tcPr>
            <w:tcW w:type="dxa" w:w="1008"/>
            <w:vAlign w:val="top"/>
          </w:tcPr>
          <w:p>
            <w:r/>
            <w:r>
              <w:rPr>
                <w:b w:val="0"/>
                <w:sz w:val="18"/>
              </w:rPr>
              <w:t>FR-06</w:t>
            </w:r>
          </w:p>
        </w:tc>
        <w:tc>
          <w:tcPr>
            <w:tcW w:type="dxa" w:w="2592"/>
            <w:vAlign w:val="top"/>
          </w:tcPr>
          <w:p>
            <w:r/>
            <w:r>
              <w:rPr>
                <w:b w:val="0"/>
                <w:sz w:val="18"/>
              </w:rPr>
              <w:t>Cross-domain integration</w:t>
            </w:r>
          </w:p>
        </w:tc>
        <w:tc>
          <w:tcPr>
            <w:tcW w:type="dxa" w:w="7488"/>
            <w:vAlign w:val="top"/>
          </w:tcPr>
          <w:p>
            <w:r/>
            <w:r>
              <w:rPr>
                <w:b w:val="0"/>
                <w:sz w:val="18"/>
              </w:rPr>
              <w:t>The environment must support integration across trade, reference, market, risk, collateral, operations, and reporting domains.</w:t>
            </w:r>
          </w:p>
        </w:tc>
      </w:tr>
      <w:tr>
        <w:tc>
          <w:tcPr>
            <w:tcW w:type="dxa" w:w="1008"/>
            <w:vAlign w:val="top"/>
          </w:tcPr>
          <w:p>
            <w:r/>
            <w:r>
              <w:rPr>
                <w:b w:val="0"/>
                <w:sz w:val="18"/>
              </w:rPr>
              <w:t>FR-07</w:t>
            </w:r>
          </w:p>
        </w:tc>
        <w:tc>
          <w:tcPr>
            <w:tcW w:type="dxa" w:w="2592"/>
            <w:vAlign w:val="top"/>
          </w:tcPr>
          <w:p>
            <w:r/>
            <w:r>
              <w:rPr>
                <w:b w:val="0"/>
                <w:sz w:val="18"/>
              </w:rPr>
              <w:t>API serving</w:t>
            </w:r>
          </w:p>
        </w:tc>
        <w:tc>
          <w:tcPr>
            <w:tcW w:type="dxa" w:w="7488"/>
            <w:vAlign w:val="top"/>
          </w:tcPr>
          <w:p>
            <w:r/>
            <w:r>
              <w:rPr>
                <w:b w:val="0"/>
                <w:sz w:val="18"/>
              </w:rPr>
              <w:t>Where APIs are required, they should expose coherent business objects and avoid leaving core integration logic to consuming UIs.</w:t>
            </w:r>
          </w:p>
        </w:tc>
      </w:tr>
      <w:tr>
        <w:tc>
          <w:tcPr>
            <w:tcW w:type="dxa" w:w="1008"/>
            <w:vAlign w:val="top"/>
          </w:tcPr>
          <w:p>
            <w:r/>
            <w:r>
              <w:rPr>
                <w:b w:val="0"/>
                <w:sz w:val="18"/>
              </w:rPr>
              <w:t>FR-08</w:t>
            </w:r>
          </w:p>
        </w:tc>
        <w:tc>
          <w:tcPr>
            <w:tcW w:type="dxa" w:w="2592"/>
            <w:vAlign w:val="top"/>
          </w:tcPr>
          <w:p>
            <w:r/>
            <w:r>
              <w:rPr>
                <w:b w:val="0"/>
                <w:sz w:val="18"/>
              </w:rPr>
              <w:t>Metadata discoverability</w:t>
            </w:r>
          </w:p>
        </w:tc>
        <w:tc>
          <w:tcPr>
            <w:tcW w:type="dxa" w:w="7488"/>
            <w:vAlign w:val="top"/>
          </w:tcPr>
          <w:p>
            <w:r/>
            <w:r>
              <w:rPr>
                <w:b w:val="0"/>
                <w:sz w:val="18"/>
              </w:rPr>
              <w:t>Users must be able to discover InfoP/CDM and TDVIP/Risk data through the agreed enterprise catalog experience.</w:t>
            </w:r>
          </w:p>
        </w:tc>
      </w:tr>
      <w:tr>
        <w:tc>
          <w:tcPr>
            <w:tcW w:type="dxa" w:w="1008"/>
            <w:vAlign w:val="top"/>
          </w:tcPr>
          <w:p>
            <w:r/>
            <w:r>
              <w:rPr>
                <w:b w:val="0"/>
                <w:sz w:val="18"/>
              </w:rPr>
              <w:t>FR-09</w:t>
            </w:r>
          </w:p>
        </w:tc>
        <w:tc>
          <w:tcPr>
            <w:tcW w:type="dxa" w:w="2592"/>
            <w:vAlign w:val="top"/>
          </w:tcPr>
          <w:p>
            <w:r/>
            <w:r>
              <w:rPr>
                <w:b w:val="0"/>
                <w:sz w:val="18"/>
              </w:rPr>
              <w:t>Semantic mapping</w:t>
            </w:r>
          </w:p>
        </w:tc>
        <w:tc>
          <w:tcPr>
            <w:tcW w:type="dxa" w:w="7488"/>
            <w:vAlign w:val="top"/>
          </w:tcPr>
          <w:p>
            <w:r/>
            <w:r>
              <w:rPr>
                <w:b w:val="0"/>
                <w:sz w:val="18"/>
              </w:rPr>
              <w:t>Mappings between Veritas, CDM, K+DB, and risk models must be documented and governed.</w:t>
            </w:r>
          </w:p>
        </w:tc>
      </w:tr>
      <w:tr>
        <w:tc>
          <w:tcPr>
            <w:tcW w:type="dxa" w:w="1008"/>
            <w:vAlign w:val="top"/>
          </w:tcPr>
          <w:p>
            <w:r/>
            <w:r>
              <w:rPr>
                <w:b w:val="0"/>
                <w:sz w:val="18"/>
              </w:rPr>
              <w:t>FR-10</w:t>
            </w:r>
          </w:p>
        </w:tc>
        <w:tc>
          <w:tcPr>
            <w:tcW w:type="dxa" w:w="2592"/>
            <w:vAlign w:val="top"/>
          </w:tcPr>
          <w:p>
            <w:r/>
            <w:r>
              <w:rPr>
                <w:b w:val="0"/>
                <w:sz w:val="18"/>
              </w:rPr>
              <w:t>Data lineage</w:t>
            </w:r>
          </w:p>
        </w:tc>
        <w:tc>
          <w:tcPr>
            <w:tcW w:type="dxa" w:w="7488"/>
            <w:vAlign w:val="top"/>
          </w:tcPr>
          <w:p>
            <w:r/>
            <w:r>
              <w:rPr>
                <w:b w:val="0"/>
                <w:sz w:val="18"/>
              </w:rPr>
              <w:t>Lineage must be available from source systems through enrichment, CDM, risk calculations, and downstream reporting.</w:t>
            </w:r>
          </w:p>
        </w:tc>
      </w:tr>
    </w:tbl>
    <w:p>
      <w:pPr>
        <w:pStyle w:val="Heading1"/>
      </w:pPr>
      <w:r>
        <w:t>7. Non-Functional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080"/>
            <w:vAlign w:val="top"/>
            <w:shd w:fill="D9EAD3"/>
          </w:tcPr>
          <w:p>
            <w:r/>
            <w:r>
              <w:rPr>
                <w:b/>
                <w:sz w:val="18"/>
              </w:rPr>
              <w:t>ID</w:t>
            </w:r>
          </w:p>
        </w:tc>
        <w:tc>
          <w:tcPr>
            <w:tcW w:type="dxa" w:w="2592"/>
            <w:vAlign w:val="top"/>
            <w:shd w:fill="D9EAD3"/>
          </w:tcPr>
          <w:p>
            <w:r/>
            <w:r>
              <w:rPr>
                <w:b/>
                <w:sz w:val="18"/>
              </w:rPr>
              <w:t>Category</w:t>
            </w:r>
          </w:p>
        </w:tc>
        <w:tc>
          <w:tcPr>
            <w:tcW w:type="dxa" w:w="7416"/>
            <w:vAlign w:val="top"/>
            <w:shd w:fill="D9EAD3"/>
          </w:tcPr>
          <w:p>
            <w:r/>
            <w:r>
              <w:rPr>
                <w:b/>
                <w:sz w:val="18"/>
              </w:rPr>
              <w:t>Requirement</w:t>
            </w:r>
          </w:p>
        </w:tc>
      </w:tr>
      <w:tr>
        <w:tc>
          <w:tcPr>
            <w:tcW w:type="dxa" w:w="1080"/>
            <w:vAlign w:val="top"/>
          </w:tcPr>
          <w:p>
            <w:r/>
            <w:r>
              <w:rPr>
                <w:b w:val="0"/>
                <w:sz w:val="18"/>
              </w:rPr>
              <w:t>NFR-01</w:t>
            </w:r>
          </w:p>
        </w:tc>
        <w:tc>
          <w:tcPr>
            <w:tcW w:type="dxa" w:w="2592"/>
            <w:vAlign w:val="top"/>
          </w:tcPr>
          <w:p>
            <w:r/>
            <w:r>
              <w:rPr>
                <w:b w:val="0"/>
                <w:sz w:val="18"/>
              </w:rPr>
              <w:t>Latency</w:t>
            </w:r>
          </w:p>
        </w:tc>
        <w:tc>
          <w:tcPr>
            <w:tcW w:type="dxa" w:w="7416"/>
            <w:vAlign w:val="top"/>
          </w:tcPr>
          <w:p>
            <w:r/>
            <w:r>
              <w:rPr>
                <w:b w:val="0"/>
                <w:sz w:val="18"/>
              </w:rPr>
              <w:t>Define SLA tiers for real-time, near real-time, intraday, and EOD access. Latency must include network, ingestion, transformation, catalog, and query time.</w:t>
            </w:r>
          </w:p>
        </w:tc>
      </w:tr>
      <w:tr>
        <w:tc>
          <w:tcPr>
            <w:tcW w:type="dxa" w:w="1080"/>
            <w:vAlign w:val="top"/>
          </w:tcPr>
          <w:p>
            <w:r/>
            <w:r>
              <w:rPr>
                <w:b w:val="0"/>
                <w:sz w:val="18"/>
              </w:rPr>
              <w:t>NFR-02</w:t>
            </w:r>
          </w:p>
        </w:tc>
        <w:tc>
          <w:tcPr>
            <w:tcW w:type="dxa" w:w="2592"/>
            <w:vAlign w:val="top"/>
          </w:tcPr>
          <w:p>
            <w:r/>
            <w:r>
              <w:rPr>
                <w:b w:val="0"/>
                <w:sz w:val="18"/>
              </w:rPr>
              <w:t>Network proximity</w:t>
            </w:r>
          </w:p>
        </w:tc>
        <w:tc>
          <w:tcPr>
            <w:tcW w:type="dxa" w:w="7416"/>
            <w:vAlign w:val="top"/>
          </w:tcPr>
          <w:p>
            <w:r/>
            <w:r>
              <w:rPr>
                <w:b w:val="0"/>
                <w:sz w:val="18"/>
              </w:rPr>
              <w:t>InfoP/Cloudera, Dremio, and TDVIP/Databricks placement must be evaluated. If platforms sit in separate technology stacks, network segment, routing, firewall, and data egress constraints must be assessed.</w:t>
            </w:r>
          </w:p>
        </w:tc>
      </w:tr>
      <w:tr>
        <w:tc>
          <w:tcPr>
            <w:tcW w:type="dxa" w:w="1080"/>
            <w:vAlign w:val="top"/>
          </w:tcPr>
          <w:p>
            <w:r/>
            <w:r>
              <w:rPr>
                <w:b w:val="0"/>
                <w:sz w:val="18"/>
              </w:rPr>
              <w:t>NFR-03</w:t>
            </w:r>
          </w:p>
        </w:tc>
        <w:tc>
          <w:tcPr>
            <w:tcW w:type="dxa" w:w="2592"/>
            <w:vAlign w:val="top"/>
          </w:tcPr>
          <w:p>
            <w:r/>
            <w:r>
              <w:rPr>
                <w:b w:val="0"/>
                <w:sz w:val="18"/>
              </w:rPr>
              <w:t>Scalability</w:t>
            </w:r>
          </w:p>
        </w:tc>
        <w:tc>
          <w:tcPr>
            <w:tcW w:type="dxa" w:w="7416"/>
            <w:vAlign w:val="top"/>
          </w:tcPr>
          <w:p>
            <w:r/>
            <w:r>
              <w:rPr>
                <w:b w:val="0"/>
                <w:sz w:val="18"/>
              </w:rPr>
              <w:t>Platform must scale for trade volumes, risk scenario volumes, historical analytics, and concurrent front-office queries.</w:t>
            </w:r>
          </w:p>
        </w:tc>
      </w:tr>
      <w:tr>
        <w:tc>
          <w:tcPr>
            <w:tcW w:type="dxa" w:w="1080"/>
            <w:vAlign w:val="top"/>
          </w:tcPr>
          <w:p>
            <w:r/>
            <w:r>
              <w:rPr>
                <w:b w:val="0"/>
                <w:sz w:val="18"/>
              </w:rPr>
              <w:t>NFR-04</w:t>
            </w:r>
          </w:p>
        </w:tc>
        <w:tc>
          <w:tcPr>
            <w:tcW w:type="dxa" w:w="2592"/>
            <w:vAlign w:val="top"/>
          </w:tcPr>
          <w:p>
            <w:r/>
            <w:r>
              <w:rPr>
                <w:b w:val="0"/>
                <w:sz w:val="18"/>
              </w:rPr>
              <w:t>Availability</w:t>
            </w:r>
          </w:p>
        </w:tc>
        <w:tc>
          <w:tcPr>
            <w:tcW w:type="dxa" w:w="7416"/>
            <w:vAlign w:val="top"/>
          </w:tcPr>
          <w:p>
            <w:r/>
            <w:r>
              <w:rPr>
                <w:b w:val="0"/>
                <w:sz w:val="18"/>
              </w:rPr>
              <w:t>Critical front-office access paths must meet agreed availability and resiliency targets.</w:t>
            </w:r>
          </w:p>
        </w:tc>
      </w:tr>
      <w:tr>
        <w:tc>
          <w:tcPr>
            <w:tcW w:type="dxa" w:w="1080"/>
            <w:vAlign w:val="top"/>
          </w:tcPr>
          <w:p>
            <w:r/>
            <w:r>
              <w:rPr>
                <w:b w:val="0"/>
                <w:sz w:val="18"/>
              </w:rPr>
              <w:t>NFR-05</w:t>
            </w:r>
          </w:p>
        </w:tc>
        <w:tc>
          <w:tcPr>
            <w:tcW w:type="dxa" w:w="2592"/>
            <w:vAlign w:val="top"/>
          </w:tcPr>
          <w:p>
            <w:r/>
            <w:r>
              <w:rPr>
                <w:b w:val="0"/>
                <w:sz w:val="18"/>
              </w:rPr>
              <w:t>Governance</w:t>
            </w:r>
          </w:p>
        </w:tc>
        <w:tc>
          <w:tcPr>
            <w:tcW w:type="dxa" w:w="7416"/>
            <w:vAlign w:val="top"/>
          </w:tcPr>
          <w:p>
            <w:r/>
            <w:r>
              <w:rPr>
                <w:b w:val="0"/>
                <w:sz w:val="18"/>
              </w:rPr>
              <w:t>Access control, entitlement, classification, privacy, and audit must be enforced consistently through Unity Catalog or approved enterprise controls.</w:t>
            </w:r>
          </w:p>
        </w:tc>
      </w:tr>
      <w:tr>
        <w:tc>
          <w:tcPr>
            <w:tcW w:type="dxa" w:w="1080"/>
            <w:vAlign w:val="top"/>
          </w:tcPr>
          <w:p>
            <w:r/>
            <w:r>
              <w:rPr>
                <w:b w:val="0"/>
                <w:sz w:val="18"/>
              </w:rPr>
              <w:t>NFR-06</w:t>
            </w:r>
          </w:p>
        </w:tc>
        <w:tc>
          <w:tcPr>
            <w:tcW w:type="dxa" w:w="2592"/>
            <w:vAlign w:val="top"/>
          </w:tcPr>
          <w:p>
            <w:r/>
            <w:r>
              <w:rPr>
                <w:b w:val="0"/>
                <w:sz w:val="18"/>
              </w:rPr>
              <w:t>Data quality</w:t>
            </w:r>
          </w:p>
        </w:tc>
        <w:tc>
          <w:tcPr>
            <w:tcW w:type="dxa" w:w="7416"/>
            <w:vAlign w:val="top"/>
          </w:tcPr>
          <w:p>
            <w:r/>
            <w:r>
              <w:rPr>
                <w:b w:val="0"/>
                <w:sz w:val="18"/>
              </w:rPr>
              <w:t>Quality checks must exist for completeness, timeliness, reconciliation, reference data validity, and semantic consistency.</w:t>
            </w:r>
          </w:p>
        </w:tc>
      </w:tr>
      <w:tr>
        <w:tc>
          <w:tcPr>
            <w:tcW w:type="dxa" w:w="1080"/>
            <w:vAlign w:val="top"/>
          </w:tcPr>
          <w:p>
            <w:r/>
            <w:r>
              <w:rPr>
                <w:b w:val="0"/>
                <w:sz w:val="18"/>
              </w:rPr>
              <w:t>NFR-07</w:t>
            </w:r>
          </w:p>
        </w:tc>
        <w:tc>
          <w:tcPr>
            <w:tcW w:type="dxa" w:w="2592"/>
            <w:vAlign w:val="top"/>
          </w:tcPr>
          <w:p>
            <w:r/>
            <w:r>
              <w:rPr>
                <w:b w:val="0"/>
                <w:sz w:val="18"/>
              </w:rPr>
              <w:t>Observability</w:t>
            </w:r>
          </w:p>
        </w:tc>
        <w:tc>
          <w:tcPr>
            <w:tcW w:type="dxa" w:w="7416"/>
            <w:vAlign w:val="top"/>
          </w:tcPr>
          <w:p>
            <w:r/>
            <w:r>
              <w:rPr>
                <w:b w:val="0"/>
                <w:sz w:val="18"/>
              </w:rPr>
              <w:t>End-to-end monitoring is required for event flow, data freshness, job health, API latency, query performance, and data quality failures.</w:t>
            </w:r>
          </w:p>
        </w:tc>
      </w:tr>
      <w:tr>
        <w:tc>
          <w:tcPr>
            <w:tcW w:type="dxa" w:w="1080"/>
            <w:vAlign w:val="top"/>
          </w:tcPr>
          <w:p>
            <w:r/>
            <w:r>
              <w:rPr>
                <w:b w:val="0"/>
                <w:sz w:val="18"/>
              </w:rPr>
              <w:t>NFR-08</w:t>
            </w:r>
          </w:p>
        </w:tc>
        <w:tc>
          <w:tcPr>
            <w:tcW w:type="dxa" w:w="2592"/>
            <w:vAlign w:val="top"/>
          </w:tcPr>
          <w:p>
            <w:r/>
            <w:r>
              <w:rPr>
                <w:b w:val="0"/>
                <w:sz w:val="18"/>
              </w:rPr>
              <w:t>Interoperability</w:t>
            </w:r>
          </w:p>
        </w:tc>
        <w:tc>
          <w:tcPr>
            <w:tcW w:type="dxa" w:w="7416"/>
            <w:vAlign w:val="top"/>
          </w:tcPr>
          <w:p>
            <w:r/>
            <w:r>
              <w:rPr>
                <w:b w:val="0"/>
                <w:sz w:val="18"/>
              </w:rPr>
              <w:t>Platforms must support governed access across Cloudera/Iceberg, Dremio, Databricks/Delta, APIs, and real-time serving stores where required.</w:t>
            </w:r>
          </w:p>
        </w:tc>
      </w:tr>
      <w:tr>
        <w:tc>
          <w:tcPr>
            <w:tcW w:type="dxa" w:w="1080"/>
            <w:vAlign w:val="top"/>
          </w:tcPr>
          <w:p>
            <w:r/>
            <w:r>
              <w:rPr>
                <w:b w:val="0"/>
                <w:sz w:val="18"/>
              </w:rPr>
              <w:t>NFR-09</w:t>
            </w:r>
          </w:p>
        </w:tc>
        <w:tc>
          <w:tcPr>
            <w:tcW w:type="dxa" w:w="2592"/>
            <w:vAlign w:val="top"/>
          </w:tcPr>
          <w:p>
            <w:r/>
            <w:r>
              <w:rPr>
                <w:b w:val="0"/>
                <w:sz w:val="18"/>
              </w:rPr>
              <w:t>Operational support</w:t>
            </w:r>
          </w:p>
        </w:tc>
        <w:tc>
          <w:tcPr>
            <w:tcW w:type="dxa" w:w="7416"/>
            <w:vAlign w:val="top"/>
          </w:tcPr>
          <w:p>
            <w:r/>
            <w:r>
              <w:rPr>
                <w:b w:val="0"/>
                <w:sz w:val="18"/>
              </w:rPr>
              <w:t>Ownership, support model, incident response, release management, and change control must be defined for each platform path.</w:t>
            </w:r>
          </w:p>
        </w:tc>
      </w:tr>
    </w:tbl>
    <w:p>
      <w:pPr>
        <w:pStyle w:val="Heading1"/>
      </w:pPr>
      <w:r>
        <w:t>8. Real-Time Data and Serving Considerations</w:t>
      </w:r>
    </w:p>
    <w:p>
      <w:r>
        <w:t>A central open question is how real-time trade events should be made available across the ecosystem when CDM resides on InfoP/Cloudera and Risk is moving to TDVIP/Databricks.</w:t>
      </w:r>
    </w:p>
    <w:p>
      <w:pPr>
        <w:pStyle w:val="ListBullet"/>
      </w:pPr>
      <w:r>
        <w:t>If CDM must be updated in real time, the architecture must validate whether Cloudera/Iceberg plus Dremio can support the required update and serving latency.</w:t>
      </w:r>
    </w:p>
    <w:p>
      <w:pPr>
        <w:pStyle w:val="ListBullet"/>
      </w:pPr>
      <w:r>
        <w:t>If Dremio reflections are primarily useful for accelerated query patterns rather than transaction-level real-time propagation, an alternate event-driven path may be required for real-time trade updates.</w:t>
      </w:r>
    </w:p>
    <w:p>
      <w:pPr>
        <w:pStyle w:val="ListBullet"/>
      </w:pPr>
      <w:r>
        <w:t>Databricks may be suitable for governed analytics, Delta-based processing, streaming ingestion, and SQL analytics, but its suitability as a direct trader-facing, ultra-low-latency trade inquiry platform must be proven through performance testing.</w:t>
      </w:r>
    </w:p>
    <w:p>
      <w:pPr>
        <w:pStyle w:val="ListBullet"/>
      </w:pPr>
      <w:r>
        <w:t>K+DB may remain appropriate for ultra-low-latency front-office inquiry and analytics, but should not become the uncontrolled source of duplicated reference data and semantics.</w:t>
      </w:r>
    </w:p>
    <w:p>
      <w:pPr>
        <w:pStyle w:val="ListBullet"/>
      </w:pPr>
      <w:r>
        <w:t>A serving layer may be required to provide integrated trade + enrichment + selected risk views without forcing the front office to call multiple APIs.</w:t>
      </w:r>
    </w:p>
    <w:p>
      <w:pPr>
        <w:pStyle w:val="ListBullet"/>
      </w:pPr>
      <w:r>
        <w:t>Real-time trade event propagation to Risk Databricks should be designed as a first-class flow, not as an afterthought from batch CDM distribution.</w:t>
      </w:r>
    </w:p>
    <w:p>
      <w:pPr>
        <w:pStyle w:val="Heading1"/>
      </w:pPr>
      <w:r>
        <w:t>9. Technology Role Hypotheses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D3"/>
          </w:tcPr>
          <w:p>
            <w:r/>
            <w:r>
              <w:rPr>
                <w:b/>
                <w:sz w:val="18"/>
              </w:rPr>
              <w:t>Technology</w:t>
            </w:r>
          </w:p>
        </w:tc>
        <w:tc>
          <w:tcPr>
            <w:tcW w:type="dxa" w:w="4320"/>
            <w:vAlign w:val="top"/>
            <w:shd w:fill="D9EAD3"/>
          </w:tcPr>
          <w:p>
            <w:r/>
            <w:r>
              <w:rPr>
                <w:b/>
                <w:sz w:val="18"/>
              </w:rPr>
              <w:t>Potential Role</w:t>
            </w:r>
          </w:p>
        </w:tc>
        <w:tc>
          <w:tcPr>
            <w:tcW w:type="dxa" w:w="4320"/>
            <w:vAlign w:val="top"/>
            <w:shd w:fill="D9EAD3"/>
          </w:tcPr>
          <w:p>
            <w:r/>
            <w:r>
              <w:rPr>
                <w:b/>
                <w:sz w:val="18"/>
              </w:rPr>
              <w:t>Key Caveat / Decision Needed</w:t>
            </w:r>
          </w:p>
        </w:tc>
      </w:tr>
      <w:tr>
        <w:tc>
          <w:tcPr>
            <w:tcW w:type="dxa" w:w="2448"/>
            <w:vAlign w:val="top"/>
          </w:tcPr>
          <w:p>
            <w:r/>
            <w:r>
              <w:rPr>
                <w:b w:val="0"/>
                <w:sz w:val="18"/>
              </w:rPr>
              <w:t>K+DB</w:t>
            </w:r>
          </w:p>
        </w:tc>
        <w:tc>
          <w:tcPr>
            <w:tcW w:type="dxa" w:w="4320"/>
            <w:vAlign w:val="top"/>
          </w:tcPr>
          <w:p>
            <w:r/>
            <w:r>
              <w:rPr>
                <w:b w:val="0"/>
                <w:sz w:val="18"/>
              </w:rPr>
              <w:t>Low-latency front-office trade and market-data serving; desk analytics; real-time operational inquiry.</w:t>
            </w:r>
          </w:p>
        </w:tc>
        <w:tc>
          <w:tcPr>
            <w:tcW w:type="dxa" w:w="4320"/>
            <w:vAlign w:val="top"/>
          </w:tcPr>
          <w:p>
            <w:r/>
            <w:r>
              <w:rPr>
                <w:b w:val="0"/>
                <w:sz w:val="18"/>
              </w:rPr>
              <w:t>Avoid uncontrolled duplication of reference data, semantics, and enrichment logic.</w:t>
            </w:r>
          </w:p>
        </w:tc>
      </w:tr>
      <w:tr>
        <w:tc>
          <w:tcPr>
            <w:tcW w:type="dxa" w:w="2448"/>
            <w:vAlign w:val="top"/>
          </w:tcPr>
          <w:p>
            <w:r/>
            <w:r>
              <w:rPr>
                <w:b w:val="0"/>
                <w:sz w:val="18"/>
              </w:rPr>
              <w:t>Veritas APIs</w:t>
            </w:r>
          </w:p>
        </w:tc>
        <w:tc>
          <w:tcPr>
            <w:tcW w:type="dxa" w:w="4320"/>
            <w:vAlign w:val="top"/>
          </w:tcPr>
          <w:p>
            <w:r/>
            <w:r>
              <w:rPr>
                <w:b w:val="0"/>
                <w:sz w:val="18"/>
              </w:rPr>
              <w:t>Existing enterprise data services; source for some domains; potential upstream source for CDM.</w:t>
            </w:r>
          </w:p>
        </w:tc>
        <w:tc>
          <w:tcPr>
            <w:tcW w:type="dxa" w:w="4320"/>
            <w:vAlign w:val="top"/>
          </w:tcPr>
          <w:p>
            <w:r/>
            <w:r>
              <w:rPr>
                <w:b w:val="0"/>
                <w:sz w:val="18"/>
              </w:rPr>
              <w:t>Model differs from CDM; joining/funding logic must be documented and reconciled.</w:t>
            </w:r>
          </w:p>
        </w:tc>
      </w:tr>
      <w:tr>
        <w:tc>
          <w:tcPr>
            <w:tcW w:type="dxa" w:w="2448"/>
            <w:vAlign w:val="top"/>
          </w:tcPr>
          <w:p>
            <w:r/>
            <w:r>
              <w:rPr>
                <w:b w:val="0"/>
                <w:sz w:val="18"/>
              </w:rPr>
              <w:t>InfoP/CDM on Cloudera/Iceberg</w:t>
            </w:r>
          </w:p>
        </w:tc>
        <w:tc>
          <w:tcPr>
            <w:tcW w:type="dxa" w:w="4320"/>
            <w:vAlign w:val="top"/>
          </w:tcPr>
          <w:p>
            <w:r/>
            <w:r>
              <w:rPr>
                <w:b w:val="0"/>
                <w:sz w:val="18"/>
              </w:rPr>
              <w:t>Enterprise conformed data model for trade, reference, market, rates, and other domains.</w:t>
            </w:r>
          </w:p>
        </w:tc>
        <w:tc>
          <w:tcPr>
            <w:tcW w:type="dxa" w:w="4320"/>
            <w:vAlign w:val="top"/>
          </w:tcPr>
          <w:p>
            <w:r/>
            <w:r>
              <w:rPr>
                <w:b w:val="0"/>
                <w:sz w:val="18"/>
              </w:rPr>
              <w:t>Need to clarify real-time update capability, freshness SLAs, and integration path to Databricks.</w:t>
            </w:r>
          </w:p>
        </w:tc>
      </w:tr>
      <w:tr>
        <w:tc>
          <w:tcPr>
            <w:tcW w:type="dxa" w:w="2448"/>
            <w:vAlign w:val="top"/>
          </w:tcPr>
          <w:p>
            <w:r/>
            <w:r>
              <w:rPr>
                <w:b w:val="0"/>
                <w:sz w:val="18"/>
              </w:rPr>
              <w:t>Dremio</w:t>
            </w:r>
          </w:p>
        </w:tc>
        <w:tc>
          <w:tcPr>
            <w:tcW w:type="dxa" w:w="4320"/>
            <w:vAlign w:val="top"/>
          </w:tcPr>
          <w:p>
            <w:r/>
            <w:r>
              <w:rPr>
                <w:b w:val="0"/>
                <w:sz w:val="18"/>
              </w:rPr>
              <w:t>Query/distribution layer over InfoP and potential metadata bridge to Unity Catalog.</w:t>
            </w:r>
          </w:p>
        </w:tc>
        <w:tc>
          <w:tcPr>
            <w:tcW w:type="dxa" w:w="4320"/>
            <w:vAlign w:val="top"/>
          </w:tcPr>
          <w:p>
            <w:r/>
            <w:r>
              <w:rPr>
                <w:b w:val="0"/>
                <w:sz w:val="18"/>
              </w:rPr>
              <w:t>Assess real-time suitability, reflection refresh constraints, and whether it should serve analytics vs operational trade inquiry.</w:t>
            </w:r>
          </w:p>
        </w:tc>
      </w:tr>
      <w:tr>
        <w:tc>
          <w:tcPr>
            <w:tcW w:type="dxa" w:w="2448"/>
            <w:vAlign w:val="top"/>
          </w:tcPr>
          <w:p>
            <w:r/>
            <w:r>
              <w:rPr>
                <w:b w:val="0"/>
                <w:sz w:val="18"/>
              </w:rPr>
              <w:t>Databricks Delta Lake / TDVIP</w:t>
            </w:r>
          </w:p>
        </w:tc>
        <w:tc>
          <w:tcPr>
            <w:tcW w:type="dxa" w:w="4320"/>
            <w:vAlign w:val="top"/>
          </w:tcPr>
          <w:p>
            <w:r/>
            <w:r>
              <w:rPr>
                <w:b w:val="0"/>
                <w:sz w:val="18"/>
              </w:rPr>
              <w:t>Risk data platform, analytics, data engineering, SQL warehouse, governed access through Unity Catalog.</w:t>
            </w:r>
          </w:p>
        </w:tc>
        <w:tc>
          <w:tcPr>
            <w:tcW w:type="dxa" w:w="4320"/>
            <w:vAlign w:val="top"/>
          </w:tcPr>
          <w:p>
            <w:r/>
            <w:r>
              <w:rPr>
                <w:b w:val="0"/>
                <w:sz w:val="18"/>
              </w:rPr>
              <w:t>Clarify whether it supports front-office real-time use cases or primarily analytics/risk workloads.</w:t>
            </w:r>
          </w:p>
        </w:tc>
      </w:tr>
      <w:tr>
        <w:tc>
          <w:tcPr>
            <w:tcW w:type="dxa" w:w="2448"/>
            <w:vAlign w:val="top"/>
          </w:tcPr>
          <w:p>
            <w:r/>
            <w:r>
              <w:rPr>
                <w:b w:val="0"/>
                <w:sz w:val="18"/>
              </w:rPr>
              <w:t>Databricks SQL Warehouse</w:t>
            </w:r>
          </w:p>
        </w:tc>
        <w:tc>
          <w:tcPr>
            <w:tcW w:type="dxa" w:w="4320"/>
            <w:vAlign w:val="top"/>
          </w:tcPr>
          <w:p>
            <w:r/>
            <w:r>
              <w:rPr>
                <w:b w:val="0"/>
                <w:sz w:val="18"/>
              </w:rPr>
              <w:t>Interactive SQL analytics and BI-style querying over Delta/governed data.</w:t>
            </w:r>
          </w:p>
        </w:tc>
        <w:tc>
          <w:tcPr>
            <w:tcW w:type="dxa" w:w="4320"/>
            <w:vAlign w:val="top"/>
          </w:tcPr>
          <w:p>
            <w:r/>
            <w:r>
              <w:rPr>
                <w:b w:val="0"/>
                <w:sz w:val="18"/>
              </w:rPr>
              <w:t>Evaluate performance, concurrency, cost, data freshness, and semantic consistency.</w:t>
            </w:r>
          </w:p>
        </w:tc>
      </w:tr>
      <w:tr>
        <w:tc>
          <w:tcPr>
            <w:tcW w:type="dxa" w:w="2448"/>
            <w:vAlign w:val="top"/>
          </w:tcPr>
          <w:p>
            <w:r/>
            <w:r>
              <w:rPr>
                <w:b w:val="0"/>
                <w:sz w:val="18"/>
              </w:rPr>
              <w:t>Unity Catalog</w:t>
            </w:r>
          </w:p>
        </w:tc>
        <w:tc>
          <w:tcPr>
            <w:tcW w:type="dxa" w:w="4320"/>
            <w:vAlign w:val="top"/>
          </w:tcPr>
          <w:p>
            <w:r/>
            <w:r>
              <w:rPr>
                <w:b w:val="0"/>
                <w:sz w:val="18"/>
              </w:rPr>
              <w:t>Primary catalog, governance, entitlement, and metadata experience.</w:t>
            </w:r>
          </w:p>
        </w:tc>
        <w:tc>
          <w:tcPr>
            <w:tcW w:type="dxa" w:w="4320"/>
            <w:vAlign w:val="top"/>
          </w:tcPr>
          <w:p>
            <w:r/>
            <w:r>
              <w:rPr>
                <w:b w:val="0"/>
                <w:sz w:val="18"/>
              </w:rPr>
              <w:t>Requires metadata federation or publishing from InfoP/Dremio into Unity Catalog.</w:t>
            </w:r>
          </w:p>
        </w:tc>
      </w:tr>
      <w:tr>
        <w:tc>
          <w:tcPr>
            <w:tcW w:type="dxa" w:w="2448"/>
            <w:vAlign w:val="top"/>
          </w:tcPr>
          <w:p>
            <w:r/>
            <w:r>
              <w:rPr>
                <w:b w:val="0"/>
                <w:sz w:val="18"/>
              </w:rPr>
              <w:t>DeepHaven</w:t>
            </w:r>
          </w:p>
        </w:tc>
        <w:tc>
          <w:tcPr>
            <w:tcW w:type="dxa" w:w="4320"/>
            <w:vAlign w:val="top"/>
          </w:tcPr>
          <w:p>
            <w:r/>
            <w:r>
              <w:rPr>
                <w:b w:val="0"/>
                <w:sz w:val="18"/>
              </w:rPr>
              <w:t>Candidate for real-time, interactive, event-driven data exploration/serving.</w:t>
            </w:r>
          </w:p>
        </w:tc>
        <w:tc>
          <w:tcPr>
            <w:tcW w:type="dxa" w:w="4320"/>
            <w:vAlign w:val="top"/>
          </w:tcPr>
          <w:p>
            <w:r/>
            <w:r>
              <w:rPr>
                <w:b w:val="0"/>
                <w:sz w:val="18"/>
              </w:rPr>
              <w:t>Must be positioned relative to K+DB, Databricks streaming, Dremio, and front-office API patterns.</w:t>
            </w:r>
          </w:p>
        </w:tc>
      </w:tr>
    </w:tbl>
    <w:p>
      <w:pPr>
        <w:pStyle w:val="Heading1"/>
      </w:pPr>
      <w:r>
        <w:t>10. Key Architecture Decisions Required</w:t>
      </w:r>
    </w:p>
    <w:tbl>
      <w:tblPr>
        <w:tblStyle w:val="TableGrid"/>
        <w:tblW w:type="auto" w:w="0"/>
        <w:jc w:val="center"/>
        <w:tblLook w:firstColumn="1" w:firstRow="1" w:lastColumn="0" w:lastRow="0" w:noHBand="0" w:noVBand="1" w:val="04A0"/>
      </w:tblPr>
      <w:tblGrid>
        <w:gridCol w:w="5184"/>
        <w:gridCol w:w="5184"/>
      </w:tblGrid>
      <w:tr>
        <w:tc>
          <w:tcPr>
            <w:tcW w:type="dxa" w:w="1152"/>
            <w:vAlign w:val="top"/>
            <w:shd w:fill="D9EAD3"/>
          </w:tcPr>
          <w:p>
            <w:r/>
            <w:r>
              <w:rPr>
                <w:b/>
                <w:sz w:val="18"/>
              </w:rPr>
              <w:t>ID</w:t>
            </w:r>
          </w:p>
        </w:tc>
        <w:tc>
          <w:tcPr>
            <w:tcW w:type="dxa" w:w="9936"/>
            <w:vAlign w:val="top"/>
            <w:shd w:fill="D9EAD3"/>
          </w:tcPr>
          <w:p>
            <w:r/>
            <w:r>
              <w:rPr>
                <w:b/>
                <w:sz w:val="18"/>
              </w:rPr>
              <w:t>Decision Required</w:t>
            </w:r>
          </w:p>
        </w:tc>
      </w:tr>
      <w:tr>
        <w:tc>
          <w:tcPr>
            <w:tcW w:type="dxa" w:w="1152"/>
            <w:vAlign w:val="top"/>
          </w:tcPr>
          <w:p>
            <w:r/>
            <w:r>
              <w:rPr>
                <w:b w:val="0"/>
                <w:sz w:val="18"/>
              </w:rPr>
              <w:t>ADR-01</w:t>
            </w:r>
          </w:p>
        </w:tc>
        <w:tc>
          <w:tcPr>
            <w:tcW w:type="dxa" w:w="9936"/>
            <w:vAlign w:val="top"/>
          </w:tcPr>
          <w:p>
            <w:r/>
            <w:r>
              <w:rPr>
                <w:b w:val="0"/>
                <w:sz w:val="18"/>
              </w:rPr>
              <w:t>What is the authoritative source of enriched trade data for front-office inquiry?</w:t>
            </w:r>
          </w:p>
        </w:tc>
      </w:tr>
      <w:tr>
        <w:tc>
          <w:tcPr>
            <w:tcW w:type="dxa" w:w="1152"/>
            <w:vAlign w:val="top"/>
          </w:tcPr>
          <w:p>
            <w:r/>
            <w:r>
              <w:rPr>
                <w:b w:val="0"/>
                <w:sz w:val="18"/>
              </w:rPr>
              <w:t>ADR-02</w:t>
            </w:r>
          </w:p>
        </w:tc>
        <w:tc>
          <w:tcPr>
            <w:tcW w:type="dxa" w:w="9936"/>
            <w:vAlign w:val="top"/>
          </w:tcPr>
          <w:p>
            <w:r/>
            <w:r>
              <w:rPr>
                <w:b w:val="0"/>
                <w:sz w:val="18"/>
              </w:rPr>
              <w:t>Should front-office real-time trade inquiry continue to use K+DB, move to Databricks, use DeepHaven, or use a composite serving layer?</w:t>
            </w:r>
          </w:p>
        </w:tc>
      </w:tr>
      <w:tr>
        <w:tc>
          <w:tcPr>
            <w:tcW w:type="dxa" w:w="1152"/>
            <w:vAlign w:val="top"/>
          </w:tcPr>
          <w:p>
            <w:r/>
            <w:r>
              <w:rPr>
                <w:b w:val="0"/>
                <w:sz w:val="18"/>
              </w:rPr>
              <w:t>ADR-03</w:t>
            </w:r>
          </w:p>
        </w:tc>
        <w:tc>
          <w:tcPr>
            <w:tcW w:type="dxa" w:w="9936"/>
            <w:vAlign w:val="top"/>
          </w:tcPr>
          <w:p>
            <w:r/>
            <w:r>
              <w:rPr>
                <w:b w:val="0"/>
                <w:sz w:val="18"/>
              </w:rPr>
              <w:t>What is the required freshness SLA for CDM: real-time, near real-time, intraday, or EOD by domain?</w:t>
            </w:r>
          </w:p>
        </w:tc>
      </w:tr>
      <w:tr>
        <w:tc>
          <w:tcPr>
            <w:tcW w:type="dxa" w:w="1152"/>
            <w:vAlign w:val="top"/>
          </w:tcPr>
          <w:p>
            <w:r/>
            <w:r>
              <w:rPr>
                <w:b w:val="0"/>
                <w:sz w:val="18"/>
              </w:rPr>
              <w:t>ADR-04</w:t>
            </w:r>
          </w:p>
        </w:tc>
        <w:tc>
          <w:tcPr>
            <w:tcW w:type="dxa" w:w="9936"/>
            <w:vAlign w:val="top"/>
          </w:tcPr>
          <w:p>
            <w:r/>
            <w:r>
              <w:rPr>
                <w:b w:val="0"/>
                <w:sz w:val="18"/>
              </w:rPr>
              <w:t>Can Dremio support the required CDM freshness and query latency, or is it better positioned for governed analytical access?</w:t>
            </w:r>
          </w:p>
        </w:tc>
      </w:tr>
      <w:tr>
        <w:tc>
          <w:tcPr>
            <w:tcW w:type="dxa" w:w="1152"/>
            <w:vAlign w:val="top"/>
          </w:tcPr>
          <w:p>
            <w:r/>
            <w:r>
              <w:rPr>
                <w:b w:val="0"/>
                <w:sz w:val="18"/>
              </w:rPr>
              <w:t>ADR-05</w:t>
            </w:r>
          </w:p>
        </w:tc>
        <w:tc>
          <w:tcPr>
            <w:tcW w:type="dxa" w:w="9936"/>
            <w:vAlign w:val="top"/>
          </w:tcPr>
          <w:p>
            <w:r/>
            <w:r>
              <w:rPr>
                <w:b w:val="0"/>
                <w:sz w:val="18"/>
              </w:rPr>
              <w:t>How will InfoP/CDM metadata be represented in Unity Catalog? Federation, synchronization, external catalog mapping, or another pattern?</w:t>
            </w:r>
          </w:p>
        </w:tc>
      </w:tr>
      <w:tr>
        <w:tc>
          <w:tcPr>
            <w:tcW w:type="dxa" w:w="1152"/>
            <w:vAlign w:val="top"/>
          </w:tcPr>
          <w:p>
            <w:r/>
            <w:r>
              <w:rPr>
                <w:b w:val="0"/>
                <w:sz w:val="18"/>
              </w:rPr>
              <w:t>ADR-06</w:t>
            </w:r>
          </w:p>
        </w:tc>
        <w:tc>
          <w:tcPr>
            <w:tcW w:type="dxa" w:w="9936"/>
            <w:vAlign w:val="top"/>
          </w:tcPr>
          <w:p>
            <w:r/>
            <w:r>
              <w:rPr>
                <w:b w:val="0"/>
                <w:sz w:val="18"/>
              </w:rPr>
              <w:t>How will real-time trade events flow to Risk Databricks? Direct event stream, CDM replication, Dremio query path, or separate operational feed?</w:t>
            </w:r>
          </w:p>
        </w:tc>
      </w:tr>
      <w:tr>
        <w:tc>
          <w:tcPr>
            <w:tcW w:type="dxa" w:w="1152"/>
            <w:vAlign w:val="top"/>
          </w:tcPr>
          <w:p>
            <w:r/>
            <w:r>
              <w:rPr>
                <w:b w:val="0"/>
                <w:sz w:val="18"/>
              </w:rPr>
              <w:t>ADR-07</w:t>
            </w:r>
          </w:p>
        </w:tc>
        <w:tc>
          <w:tcPr>
            <w:tcW w:type="dxa" w:w="9936"/>
            <w:vAlign w:val="top"/>
          </w:tcPr>
          <w:p>
            <w:r/>
            <w:r>
              <w:rPr>
                <w:b w:val="0"/>
                <w:sz w:val="18"/>
              </w:rPr>
              <w:t>How will Veritas semantics be mapped to CDM semantics and risk semantics?</w:t>
            </w:r>
          </w:p>
        </w:tc>
      </w:tr>
      <w:tr>
        <w:tc>
          <w:tcPr>
            <w:tcW w:type="dxa" w:w="1152"/>
            <w:vAlign w:val="top"/>
          </w:tcPr>
          <w:p>
            <w:r/>
            <w:r>
              <w:rPr>
                <w:b w:val="0"/>
                <w:sz w:val="18"/>
              </w:rPr>
              <w:t>ADR-08</w:t>
            </w:r>
          </w:p>
        </w:tc>
        <w:tc>
          <w:tcPr>
            <w:tcW w:type="dxa" w:w="9936"/>
            <w:vAlign w:val="top"/>
          </w:tcPr>
          <w:p>
            <w:r/>
            <w:r>
              <w:rPr>
                <w:b w:val="0"/>
                <w:sz w:val="18"/>
              </w:rPr>
              <w:t>What data integration should occur in the platform vs in front-office UI/API composition?</w:t>
            </w:r>
          </w:p>
        </w:tc>
      </w:tr>
      <w:tr>
        <w:tc>
          <w:tcPr>
            <w:tcW w:type="dxa" w:w="1152"/>
            <w:vAlign w:val="top"/>
          </w:tcPr>
          <w:p>
            <w:r/>
            <w:r>
              <w:rPr>
                <w:b w:val="0"/>
                <w:sz w:val="18"/>
              </w:rPr>
              <w:t>ADR-09</w:t>
            </w:r>
          </w:p>
        </w:tc>
        <w:tc>
          <w:tcPr>
            <w:tcW w:type="dxa" w:w="9936"/>
            <w:vAlign w:val="top"/>
          </w:tcPr>
          <w:p>
            <w:r/>
            <w:r>
              <w:rPr>
                <w:b w:val="0"/>
                <w:sz w:val="18"/>
              </w:rPr>
              <w:t>Where does DeepHaven fit, and what workloads justify it over existing K+DB or Databricks capabilities?</w:t>
            </w:r>
          </w:p>
        </w:tc>
      </w:tr>
      <w:tr>
        <w:tc>
          <w:tcPr>
            <w:tcW w:type="dxa" w:w="1152"/>
            <w:vAlign w:val="top"/>
          </w:tcPr>
          <w:p>
            <w:r/>
            <w:r>
              <w:rPr>
                <w:b w:val="0"/>
                <w:sz w:val="18"/>
              </w:rPr>
              <w:t>ADR-10</w:t>
            </w:r>
          </w:p>
        </w:tc>
        <w:tc>
          <w:tcPr>
            <w:tcW w:type="dxa" w:w="9936"/>
            <w:vAlign w:val="top"/>
          </w:tcPr>
          <w:p>
            <w:r/>
            <w:r>
              <w:rPr>
                <w:b w:val="0"/>
                <w:sz w:val="18"/>
              </w:rPr>
              <w:t>What network placement is required between InfoP, Dremio, Databricks, and front-office serving layers to meet latency and security requirements?</w:t>
            </w:r>
          </w:p>
        </w:tc>
      </w:tr>
    </w:tbl>
    <w:p>
      <w:pPr>
        <w:pStyle w:val="Heading1"/>
      </w:pPr>
      <w:r>
        <w:t>11. Major Risks and Caveats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D3"/>
          </w:tcPr>
          <w:p>
            <w:r/>
            <w:r>
              <w:rPr>
                <w:b/>
                <w:sz w:val="18"/>
              </w:rPr>
              <w:t>Risk / Caveat</w:t>
            </w:r>
          </w:p>
        </w:tc>
        <w:tc>
          <w:tcPr>
            <w:tcW w:type="dxa" w:w="8064"/>
            <w:vAlign w:val="top"/>
            <w:shd w:fill="D9EAD3"/>
          </w:tcPr>
          <w:p>
            <w:r/>
            <w:r>
              <w:rPr>
                <w:b/>
                <w:sz w:val="18"/>
              </w:rPr>
              <w:t>Description</w:t>
            </w:r>
          </w:p>
        </w:tc>
      </w:tr>
      <w:tr>
        <w:tc>
          <w:tcPr>
            <w:tcW w:type="dxa" w:w="3024"/>
            <w:vAlign w:val="top"/>
          </w:tcPr>
          <w:p>
            <w:r/>
            <w:r>
              <w:rPr>
                <w:b w:val="0"/>
                <w:sz w:val="18"/>
              </w:rPr>
              <w:t>Semantic fragmentation</w:t>
            </w:r>
          </w:p>
        </w:tc>
        <w:tc>
          <w:tcPr>
            <w:tcW w:type="dxa" w:w="8064"/>
            <w:vAlign w:val="top"/>
          </w:tcPr>
          <w:p>
            <w:r/>
            <w:r>
              <w:rPr>
                <w:b w:val="0"/>
                <w:sz w:val="18"/>
              </w:rPr>
              <w:t>Multiple models - K+DB desk models, Veritas, CDM, and Risk - may continue to define the same concepts differently.</w:t>
            </w:r>
          </w:p>
        </w:tc>
      </w:tr>
      <w:tr>
        <w:tc>
          <w:tcPr>
            <w:tcW w:type="dxa" w:w="3024"/>
            <w:vAlign w:val="top"/>
          </w:tcPr>
          <w:p>
            <w:r/>
            <w:r>
              <w:rPr>
                <w:b w:val="0"/>
                <w:sz w:val="18"/>
              </w:rPr>
              <w:t>Latency mismatch</w:t>
            </w:r>
          </w:p>
        </w:tc>
        <w:tc>
          <w:tcPr>
            <w:tcW w:type="dxa" w:w="8064"/>
            <w:vAlign w:val="top"/>
          </w:tcPr>
          <w:p>
            <w:r/>
            <w:r>
              <w:rPr>
                <w:b w:val="0"/>
                <w:sz w:val="18"/>
              </w:rPr>
              <w:t>Batch-oriented or reflection-oriented access patterns may not satisfy real-time trade visibility needs.</w:t>
            </w:r>
          </w:p>
        </w:tc>
      </w:tr>
      <w:tr>
        <w:tc>
          <w:tcPr>
            <w:tcW w:type="dxa" w:w="3024"/>
            <w:vAlign w:val="top"/>
          </w:tcPr>
          <w:p>
            <w:r/>
            <w:r>
              <w:rPr>
                <w:b w:val="0"/>
                <w:sz w:val="18"/>
              </w:rPr>
              <w:t>Network latency</w:t>
            </w:r>
          </w:p>
        </w:tc>
        <w:tc>
          <w:tcPr>
            <w:tcW w:type="dxa" w:w="8064"/>
            <w:vAlign w:val="top"/>
          </w:tcPr>
          <w:p>
            <w:r/>
            <w:r>
              <w:rPr>
                <w:b w:val="0"/>
                <w:sz w:val="18"/>
              </w:rPr>
              <w:t>Separate network zones or technology stacks between InfoP and TDVIP may introduce unacceptable latency or operational complexity.</w:t>
            </w:r>
          </w:p>
        </w:tc>
      </w:tr>
      <w:tr>
        <w:tc>
          <w:tcPr>
            <w:tcW w:type="dxa" w:w="3024"/>
            <w:vAlign w:val="top"/>
          </w:tcPr>
          <w:p>
            <w:r/>
            <w:r>
              <w:rPr>
                <w:b w:val="0"/>
                <w:sz w:val="18"/>
              </w:rPr>
              <w:t>Catalog inconsistency</w:t>
            </w:r>
          </w:p>
        </w:tc>
        <w:tc>
          <w:tcPr>
            <w:tcW w:type="dxa" w:w="8064"/>
            <w:vAlign w:val="top"/>
          </w:tcPr>
          <w:p>
            <w:r/>
            <w:r>
              <w:rPr>
                <w:b w:val="0"/>
                <w:sz w:val="18"/>
              </w:rPr>
              <w:t>Unity Catalog may not automatically reflect InfoP metadata without integration work.</w:t>
            </w:r>
          </w:p>
        </w:tc>
      </w:tr>
      <w:tr>
        <w:tc>
          <w:tcPr>
            <w:tcW w:type="dxa" w:w="3024"/>
            <w:vAlign w:val="top"/>
          </w:tcPr>
          <w:p>
            <w:r/>
            <w:r>
              <w:rPr>
                <w:b w:val="0"/>
                <w:sz w:val="18"/>
              </w:rPr>
              <w:t>Front-office integration sprawl</w:t>
            </w:r>
          </w:p>
        </w:tc>
        <w:tc>
          <w:tcPr>
            <w:tcW w:type="dxa" w:w="8064"/>
            <w:vAlign w:val="top"/>
          </w:tcPr>
          <w:p>
            <w:r/>
            <w:r>
              <w:rPr>
                <w:b w:val="0"/>
                <w:sz w:val="18"/>
              </w:rPr>
              <w:t>If trade, reference, market, and risk data are exposed through separate APIs, front-office applications may carry complex integration logic.</w:t>
            </w:r>
          </w:p>
        </w:tc>
      </w:tr>
      <w:tr>
        <w:tc>
          <w:tcPr>
            <w:tcW w:type="dxa" w:w="3024"/>
            <w:vAlign w:val="top"/>
          </w:tcPr>
          <w:p>
            <w:r/>
            <w:r>
              <w:rPr>
                <w:b w:val="0"/>
                <w:sz w:val="18"/>
              </w:rPr>
              <w:t>Duplicated reference data</w:t>
            </w:r>
          </w:p>
        </w:tc>
        <w:tc>
          <w:tcPr>
            <w:tcW w:type="dxa" w:w="8064"/>
            <w:vAlign w:val="top"/>
          </w:tcPr>
          <w:p>
            <w:r/>
            <w:r>
              <w:rPr>
                <w:b w:val="0"/>
                <w:sz w:val="18"/>
              </w:rPr>
              <w:t>Desk K+DBs may continue to maintain independent reference data copies unless enterprise distribution patterns are defined.</w:t>
            </w:r>
          </w:p>
        </w:tc>
      </w:tr>
      <w:tr>
        <w:tc>
          <w:tcPr>
            <w:tcW w:type="dxa" w:w="3024"/>
            <w:vAlign w:val="top"/>
          </w:tcPr>
          <w:p>
            <w:r/>
            <w:r>
              <w:rPr>
                <w:b w:val="0"/>
                <w:sz w:val="18"/>
              </w:rPr>
              <w:t>Unclear technology ownership</w:t>
            </w:r>
          </w:p>
        </w:tc>
        <w:tc>
          <w:tcPr>
            <w:tcW w:type="dxa" w:w="8064"/>
            <w:vAlign w:val="top"/>
          </w:tcPr>
          <w:p>
            <w:r/>
            <w:r>
              <w:rPr>
                <w:b w:val="0"/>
                <w:sz w:val="18"/>
              </w:rPr>
              <w:t>Without clear ownership, multiple teams may implement overlapping data products, APIs, and semantic layers.</w:t>
            </w:r>
          </w:p>
        </w:tc>
      </w:tr>
      <w:tr>
        <w:tc>
          <w:tcPr>
            <w:tcW w:type="dxa" w:w="3024"/>
            <w:vAlign w:val="top"/>
          </w:tcPr>
          <w:p>
            <w:r/>
            <w:r>
              <w:rPr>
                <w:b w:val="0"/>
                <w:sz w:val="18"/>
              </w:rPr>
              <w:t>Cost and performance uncertainty</w:t>
            </w:r>
          </w:p>
        </w:tc>
        <w:tc>
          <w:tcPr>
            <w:tcW w:type="dxa" w:w="8064"/>
            <w:vAlign w:val="top"/>
          </w:tcPr>
          <w:p>
            <w:r/>
            <w:r>
              <w:rPr>
                <w:b w:val="0"/>
                <w:sz w:val="18"/>
              </w:rPr>
              <w:t>Databricks SQL Warehouse, Dremio, K+DB, and DeepHaven must be compared using real workload benchmarks, not conceptual fit alone.</w:t>
            </w:r>
          </w:p>
        </w:tc>
      </w:tr>
    </w:tbl>
    <w:p>
      <w:pPr>
        <w:pStyle w:val="Heading1"/>
      </w:pPr>
      <w:r>
        <w:t>12. Recommended Analysis Workstreams</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D9EAD3"/>
          </w:tcPr>
          <w:p>
            <w:r/>
            <w:r>
              <w:rPr>
                <w:b/>
                <w:sz w:val="18"/>
              </w:rPr>
              <w:t>Workstream</w:t>
            </w:r>
          </w:p>
        </w:tc>
        <w:tc>
          <w:tcPr>
            <w:tcW w:type="dxa" w:w="7776"/>
            <w:vAlign w:val="top"/>
            <w:shd w:fill="D9EAD3"/>
          </w:tcPr>
          <w:p>
            <w:r/>
            <w:r>
              <w:rPr>
                <w:b/>
                <w:sz w:val="18"/>
              </w:rPr>
              <w:t>Description</w:t>
            </w:r>
          </w:p>
        </w:tc>
      </w:tr>
      <w:tr>
        <w:tc>
          <w:tcPr>
            <w:tcW w:type="dxa" w:w="3312"/>
            <w:vAlign w:val="top"/>
          </w:tcPr>
          <w:p>
            <w:r/>
            <w:r>
              <w:rPr>
                <w:b w:val="0"/>
                <w:sz w:val="18"/>
              </w:rPr>
              <w:t>WS-01: Workload classification</w:t>
            </w:r>
          </w:p>
        </w:tc>
        <w:tc>
          <w:tcPr>
            <w:tcW w:type="dxa" w:w="7776"/>
            <w:vAlign w:val="top"/>
          </w:tcPr>
          <w:p>
            <w:r/>
            <w:r>
              <w:rPr>
                <w:b w:val="0"/>
                <w:sz w:val="18"/>
              </w:rPr>
              <w:t>Classify use cases into real-time inquiry, real-time analytics, near real-time analytics, intraday analytics, EOD analytics, reporting, and API serving.</w:t>
            </w:r>
          </w:p>
        </w:tc>
      </w:tr>
      <w:tr>
        <w:tc>
          <w:tcPr>
            <w:tcW w:type="dxa" w:w="3312"/>
            <w:vAlign w:val="top"/>
          </w:tcPr>
          <w:p>
            <w:r/>
            <w:r>
              <w:rPr>
                <w:b w:val="0"/>
                <w:sz w:val="18"/>
              </w:rPr>
              <w:t>WS-02: Data domain ownership</w:t>
            </w:r>
          </w:p>
        </w:tc>
        <w:tc>
          <w:tcPr>
            <w:tcW w:type="dxa" w:w="7776"/>
            <w:vAlign w:val="top"/>
          </w:tcPr>
          <w:p>
            <w:r/>
            <w:r>
              <w:rPr>
                <w:b w:val="0"/>
                <w:sz w:val="18"/>
              </w:rPr>
              <w:t>Define source of truth and data product ownership for trade, reference, market, rates, credit reference, risk, collateral, and P&amp;L.</w:t>
            </w:r>
          </w:p>
        </w:tc>
      </w:tr>
      <w:tr>
        <w:tc>
          <w:tcPr>
            <w:tcW w:type="dxa" w:w="3312"/>
            <w:vAlign w:val="top"/>
          </w:tcPr>
          <w:p>
            <w:r/>
            <w:r>
              <w:rPr>
                <w:b w:val="0"/>
                <w:sz w:val="18"/>
              </w:rPr>
              <w:t>WS-03: Semantic mapping</w:t>
            </w:r>
          </w:p>
        </w:tc>
        <w:tc>
          <w:tcPr>
            <w:tcW w:type="dxa" w:w="7776"/>
            <w:vAlign w:val="top"/>
          </w:tcPr>
          <w:p>
            <w:r/>
            <w:r>
              <w:rPr>
                <w:b w:val="0"/>
                <w:sz w:val="18"/>
              </w:rPr>
              <w:t>Map Veritas, CDM, K+DB, and Risk definitions for critical business objects.</w:t>
            </w:r>
          </w:p>
        </w:tc>
      </w:tr>
      <w:tr>
        <w:tc>
          <w:tcPr>
            <w:tcW w:type="dxa" w:w="3312"/>
            <w:vAlign w:val="top"/>
          </w:tcPr>
          <w:p>
            <w:r/>
            <w:r>
              <w:rPr>
                <w:b w:val="0"/>
                <w:sz w:val="18"/>
              </w:rPr>
              <w:t>WS-04: Real-time architecture design</w:t>
            </w:r>
          </w:p>
        </w:tc>
        <w:tc>
          <w:tcPr>
            <w:tcW w:type="dxa" w:w="7776"/>
            <w:vAlign w:val="top"/>
          </w:tcPr>
          <w:p>
            <w:r/>
            <w:r>
              <w:rPr>
                <w:b w:val="0"/>
                <w:sz w:val="18"/>
              </w:rPr>
              <w:t>Design event flow from TMS systems to K+DB, CDM, Databricks, and any serving layer.</w:t>
            </w:r>
          </w:p>
        </w:tc>
      </w:tr>
      <w:tr>
        <w:tc>
          <w:tcPr>
            <w:tcW w:type="dxa" w:w="3312"/>
            <w:vAlign w:val="top"/>
          </w:tcPr>
          <w:p>
            <w:r/>
            <w:r>
              <w:rPr>
                <w:b w:val="0"/>
                <w:sz w:val="18"/>
              </w:rPr>
              <w:t>WS-05: Catalog integration</w:t>
            </w:r>
          </w:p>
        </w:tc>
        <w:tc>
          <w:tcPr>
            <w:tcW w:type="dxa" w:w="7776"/>
            <w:vAlign w:val="top"/>
          </w:tcPr>
          <w:p>
            <w:r/>
            <w:r>
              <w:rPr>
                <w:b w:val="0"/>
                <w:sz w:val="18"/>
              </w:rPr>
              <w:t>Define how InfoP metadata and Dremio-exposed metadata become visible in Unity Catalog.</w:t>
            </w:r>
          </w:p>
        </w:tc>
      </w:tr>
      <w:tr>
        <w:tc>
          <w:tcPr>
            <w:tcW w:type="dxa" w:w="3312"/>
            <w:vAlign w:val="top"/>
          </w:tcPr>
          <w:p>
            <w:r/>
            <w:r>
              <w:rPr>
                <w:b w:val="0"/>
                <w:sz w:val="18"/>
              </w:rPr>
              <w:t>WS-06: Performance benchmark</w:t>
            </w:r>
          </w:p>
        </w:tc>
        <w:tc>
          <w:tcPr>
            <w:tcW w:type="dxa" w:w="7776"/>
            <w:vAlign w:val="top"/>
          </w:tcPr>
          <w:p>
            <w:r/>
            <w:r>
              <w:rPr>
                <w:b w:val="0"/>
                <w:sz w:val="18"/>
              </w:rPr>
              <w:t>Run proof-of-concept tests for Databricks SQL Warehouse, Dremio, K+DB, and DeepHaven across representative workloads.</w:t>
            </w:r>
          </w:p>
        </w:tc>
      </w:tr>
      <w:tr>
        <w:tc>
          <w:tcPr>
            <w:tcW w:type="dxa" w:w="3312"/>
            <w:vAlign w:val="top"/>
          </w:tcPr>
          <w:p>
            <w:r/>
            <w:r>
              <w:rPr>
                <w:b w:val="0"/>
                <w:sz w:val="18"/>
              </w:rPr>
              <w:t>WS-07: API and serving pattern</w:t>
            </w:r>
          </w:p>
        </w:tc>
        <w:tc>
          <w:tcPr>
            <w:tcW w:type="dxa" w:w="7776"/>
            <w:vAlign w:val="top"/>
          </w:tcPr>
          <w:p>
            <w:r/>
            <w:r>
              <w:rPr>
                <w:b w:val="0"/>
                <w:sz w:val="18"/>
              </w:rPr>
              <w:t>Define whether APIs expose raw domain objects, conformed business views, or composite front-office views.</w:t>
            </w:r>
          </w:p>
        </w:tc>
      </w:tr>
      <w:tr>
        <w:tc>
          <w:tcPr>
            <w:tcW w:type="dxa" w:w="3312"/>
            <w:vAlign w:val="top"/>
          </w:tcPr>
          <w:p>
            <w:r/>
            <w:r>
              <w:rPr>
                <w:b w:val="0"/>
                <w:sz w:val="18"/>
              </w:rPr>
              <w:t>WS-08: Network and security assessment</w:t>
            </w:r>
          </w:p>
        </w:tc>
        <w:tc>
          <w:tcPr>
            <w:tcW w:type="dxa" w:w="7776"/>
            <w:vAlign w:val="top"/>
          </w:tcPr>
          <w:p>
            <w:r/>
            <w:r>
              <w:rPr>
                <w:b w:val="0"/>
                <w:sz w:val="18"/>
              </w:rPr>
              <w:t>Validate network placement, entitlement propagation, data movement constraints, and latency between InfoP and TDVIP.</w:t>
            </w:r>
          </w:p>
        </w:tc>
      </w:tr>
      <w:tr>
        <w:tc>
          <w:tcPr>
            <w:tcW w:type="dxa" w:w="3312"/>
            <w:vAlign w:val="top"/>
          </w:tcPr>
          <w:p>
            <w:r/>
            <w:r>
              <w:rPr>
                <w:b w:val="0"/>
                <w:sz w:val="18"/>
              </w:rPr>
              <w:t>WS-09: Target architecture options</w:t>
            </w:r>
          </w:p>
        </w:tc>
        <w:tc>
          <w:tcPr>
            <w:tcW w:type="dxa" w:w="7776"/>
            <w:vAlign w:val="top"/>
          </w:tcPr>
          <w:p>
            <w:r/>
            <w:r>
              <w:rPr>
                <w:b w:val="0"/>
                <w:sz w:val="18"/>
              </w:rPr>
              <w:t>Produce 2-3 architecture options with pros, cons, cost, latency, governance, and migration impact.</w:t>
            </w:r>
          </w:p>
        </w:tc>
      </w:tr>
      <w:tr>
        <w:tc>
          <w:tcPr>
            <w:tcW w:type="dxa" w:w="3312"/>
            <w:vAlign w:val="top"/>
          </w:tcPr>
          <w:p>
            <w:r/>
            <w:r>
              <w:rPr>
                <w:b w:val="0"/>
                <w:sz w:val="18"/>
              </w:rPr>
              <w:t>WS-10: Roadmap</w:t>
            </w:r>
          </w:p>
        </w:tc>
        <w:tc>
          <w:tcPr>
            <w:tcW w:type="dxa" w:w="7776"/>
            <w:vAlign w:val="top"/>
          </w:tcPr>
          <w:p>
            <w:r/>
            <w:r>
              <w:rPr>
                <w:b w:val="0"/>
                <w:sz w:val="18"/>
              </w:rPr>
              <w:t>Define phased roadmap: controlled coexistence, metadata integration, real-time feed hardening, semantic convergence, and rationalization.</w:t>
            </w:r>
          </w:p>
        </w:tc>
      </w:tr>
    </w:tbl>
    <w:p>
      <w:pPr>
        <w:pStyle w:val="Heading1"/>
      </w:pPr>
      <w:r>
        <w:t>13. Candidate Architecture Options to Evaluate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D3"/>
          </w:tcPr>
          <w:p>
            <w:r/>
            <w:r>
              <w:rPr>
                <w:b/>
                <w:sz w:val="18"/>
              </w:rPr>
              <w:t>Option</w:t>
            </w:r>
          </w:p>
        </w:tc>
        <w:tc>
          <w:tcPr>
            <w:tcW w:type="dxa" w:w="3600"/>
            <w:vAlign w:val="top"/>
            <w:shd w:fill="D9EAD3"/>
          </w:tcPr>
          <w:p>
            <w:r/>
            <w:r>
              <w:rPr>
                <w:b/>
                <w:sz w:val="18"/>
              </w:rPr>
              <w:t>Description</w:t>
            </w:r>
          </w:p>
        </w:tc>
        <w:tc>
          <w:tcPr>
            <w:tcW w:type="dxa" w:w="2304"/>
            <w:vAlign w:val="top"/>
            <w:shd w:fill="D9EAD3"/>
          </w:tcPr>
          <w:p>
            <w:r/>
            <w:r>
              <w:rPr>
                <w:b/>
                <w:sz w:val="18"/>
              </w:rPr>
              <w:t>Potential Benefit</w:t>
            </w:r>
          </w:p>
        </w:tc>
        <w:tc>
          <w:tcPr>
            <w:tcW w:type="dxa" w:w="2592"/>
            <w:vAlign w:val="top"/>
            <w:shd w:fill="D9EAD3"/>
          </w:tcPr>
          <w:p>
            <w:r/>
            <w:r>
              <w:rPr>
                <w:b/>
                <w:sz w:val="18"/>
              </w:rPr>
              <w:t>Primary Concern</w:t>
            </w:r>
          </w:p>
        </w:tc>
      </w:tr>
      <w:tr>
        <w:tc>
          <w:tcPr>
            <w:tcW w:type="dxa" w:w="2592"/>
            <w:vAlign w:val="top"/>
          </w:tcPr>
          <w:p>
            <w:r/>
            <w:r>
              <w:rPr>
                <w:b w:val="0"/>
                <w:sz w:val="18"/>
              </w:rPr>
              <w:t>Option A: K+DB front-office, Databricks risk analytics, CDM governed via Dremio</w:t>
            </w:r>
          </w:p>
        </w:tc>
        <w:tc>
          <w:tcPr>
            <w:tcW w:type="dxa" w:w="3600"/>
            <w:vAlign w:val="top"/>
          </w:tcPr>
          <w:p>
            <w:r/>
            <w:r>
              <w:rPr>
                <w:b w:val="0"/>
                <w:sz w:val="18"/>
              </w:rPr>
              <w:t>Maintain K+DB for trader-facing low-latency access; use Databricks for risk and analytics; expose InfoP/CDM through Dremio and Unity Catalog integration.</w:t>
            </w:r>
          </w:p>
        </w:tc>
        <w:tc>
          <w:tcPr>
            <w:tcW w:type="dxa" w:w="2304"/>
            <w:vAlign w:val="top"/>
          </w:tcPr>
          <w:p>
            <w:r/>
            <w:r>
              <w:rPr>
                <w:b w:val="0"/>
                <w:sz w:val="18"/>
              </w:rPr>
              <w:t>Lowest disruption; preserves low latency.</w:t>
            </w:r>
          </w:p>
        </w:tc>
        <w:tc>
          <w:tcPr>
            <w:tcW w:type="dxa" w:w="2592"/>
            <w:vAlign w:val="top"/>
          </w:tcPr>
          <w:p>
            <w:r/>
            <w:r>
              <w:rPr>
                <w:b w:val="0"/>
                <w:sz w:val="18"/>
              </w:rPr>
              <w:t>Continues platform plurality; requires semantic and metadata governance.</w:t>
            </w:r>
          </w:p>
        </w:tc>
      </w:tr>
      <w:tr>
        <w:tc>
          <w:tcPr>
            <w:tcW w:type="dxa" w:w="2592"/>
            <w:vAlign w:val="top"/>
          </w:tcPr>
          <w:p>
            <w:r/>
            <w:r>
              <w:rPr>
                <w:b w:val="0"/>
                <w:sz w:val="18"/>
              </w:rPr>
              <w:t>Option B: Databricks-centric analytics and serving</w:t>
            </w:r>
          </w:p>
        </w:tc>
        <w:tc>
          <w:tcPr>
            <w:tcW w:type="dxa" w:w="3600"/>
            <w:vAlign w:val="top"/>
          </w:tcPr>
          <w:p>
            <w:r/>
            <w:r>
              <w:rPr>
                <w:b w:val="0"/>
                <w:sz w:val="18"/>
              </w:rPr>
              <w:t>Use Databricks Delta, streaming, and SQL Warehouse as primary analytics and possibly inquiry platform.</w:t>
            </w:r>
          </w:p>
        </w:tc>
        <w:tc>
          <w:tcPr>
            <w:tcW w:type="dxa" w:w="2304"/>
            <w:vAlign w:val="top"/>
          </w:tcPr>
          <w:p>
            <w:r/>
            <w:r>
              <w:rPr>
                <w:b w:val="0"/>
                <w:sz w:val="18"/>
              </w:rPr>
              <w:t>Stronger governance and consolidation.</w:t>
            </w:r>
          </w:p>
        </w:tc>
        <w:tc>
          <w:tcPr>
            <w:tcW w:type="dxa" w:w="2592"/>
            <w:vAlign w:val="top"/>
          </w:tcPr>
          <w:p>
            <w:r/>
            <w:r>
              <w:rPr>
                <w:b w:val="0"/>
                <w:sz w:val="18"/>
              </w:rPr>
              <w:t>Must prove trader-facing latency and concurrency; may not replace K+DB for all real-time patterns.</w:t>
            </w:r>
          </w:p>
        </w:tc>
      </w:tr>
      <w:tr>
        <w:tc>
          <w:tcPr>
            <w:tcW w:type="dxa" w:w="2592"/>
            <w:vAlign w:val="top"/>
          </w:tcPr>
          <w:p>
            <w:r/>
            <w:r>
              <w:rPr>
                <w:b w:val="0"/>
                <w:sz w:val="18"/>
              </w:rPr>
              <w:t>Option C: Real-time serving layer with governed back-end platforms</w:t>
            </w:r>
          </w:p>
        </w:tc>
        <w:tc>
          <w:tcPr>
            <w:tcW w:type="dxa" w:w="3600"/>
            <w:vAlign w:val="top"/>
          </w:tcPr>
          <w:p>
            <w:r/>
            <w:r>
              <w:rPr>
                <w:b w:val="0"/>
                <w:sz w:val="18"/>
              </w:rPr>
              <w:t>Introduce a composite serving layer or real-time data product layer that integrates trade, enrichment, and selected risk views while back-end data remains in K+DB/CDM/Databricks.</w:t>
            </w:r>
          </w:p>
        </w:tc>
        <w:tc>
          <w:tcPr>
            <w:tcW w:type="dxa" w:w="2304"/>
            <w:vAlign w:val="top"/>
          </w:tcPr>
          <w:p>
            <w:r/>
            <w:r>
              <w:rPr>
                <w:b w:val="0"/>
                <w:sz w:val="18"/>
              </w:rPr>
              <w:t>Avoids UI-level stitching; supports controlled coexistence.</w:t>
            </w:r>
          </w:p>
        </w:tc>
        <w:tc>
          <w:tcPr>
            <w:tcW w:type="dxa" w:w="2592"/>
            <w:vAlign w:val="top"/>
          </w:tcPr>
          <w:p>
            <w:r/>
            <w:r>
              <w:rPr>
                <w:b w:val="0"/>
                <w:sz w:val="18"/>
              </w:rPr>
              <w:t>Requires strong ownership and design discipline.</w:t>
            </w:r>
          </w:p>
        </w:tc>
      </w:tr>
      <w:tr>
        <w:tc>
          <w:tcPr>
            <w:tcW w:type="dxa" w:w="2592"/>
            <w:vAlign w:val="top"/>
          </w:tcPr>
          <w:p>
            <w:r/>
            <w:r>
              <w:rPr>
                <w:b w:val="0"/>
                <w:sz w:val="18"/>
              </w:rPr>
              <w:t>Option D: DeepHaven for real-time interactive layer</w:t>
            </w:r>
          </w:p>
        </w:tc>
        <w:tc>
          <w:tcPr>
            <w:tcW w:type="dxa" w:w="3600"/>
            <w:vAlign w:val="top"/>
          </w:tcPr>
          <w:p>
            <w:r/>
            <w:r>
              <w:rPr>
                <w:b w:val="0"/>
                <w:sz w:val="18"/>
              </w:rPr>
              <w:t>Use DeepHaven for selected real-time streaming / interactive workloads alongside Databricks and CDM.</w:t>
            </w:r>
          </w:p>
        </w:tc>
        <w:tc>
          <w:tcPr>
            <w:tcW w:type="dxa" w:w="2304"/>
            <w:vAlign w:val="top"/>
          </w:tcPr>
          <w:p>
            <w:r/>
            <w:r>
              <w:rPr>
                <w:b w:val="0"/>
                <w:sz w:val="18"/>
              </w:rPr>
              <w:t>Potentially strong real-time user experience.</w:t>
            </w:r>
          </w:p>
        </w:tc>
        <w:tc>
          <w:tcPr>
            <w:tcW w:type="dxa" w:w="2592"/>
            <w:vAlign w:val="top"/>
          </w:tcPr>
          <w:p>
            <w:r/>
            <w:r>
              <w:rPr>
                <w:b w:val="0"/>
                <w:sz w:val="18"/>
              </w:rPr>
              <w:t>Need clear justification vs K+DB and Databricks; avoid adding another redundant platform.</w:t>
            </w:r>
          </w:p>
        </w:tc>
      </w:tr>
    </w:tbl>
    <w:p>
      <w:pPr>
        <w:pStyle w:val="Heading1"/>
      </w:pPr>
      <w:r>
        <w:t>14. Initial Recommendation</w:t>
      </w:r>
    </w:p>
    <w:p>
      <w:r>
        <w:t>The initial recommendation is to avoid selecting a single platform prematurely. The next step should be a structured architecture evaluation based on workload classes, latency SLAs, semantic ownership, and data governance requirements.</w:t>
      </w:r>
    </w:p>
    <w:p>
      <w:pPr>
        <w:pStyle w:val="ListBullet"/>
      </w:pPr>
      <w:r>
        <w:t>Keep K+DB positioned for proven low-latency front-office workloads until an alternative meets the same latency and usability requirements.</w:t>
      </w:r>
    </w:p>
    <w:p>
      <w:pPr>
        <w:pStyle w:val="ListBullet"/>
      </w:pPr>
      <w:r>
        <w:t>Position Databricks/TDVIP as the strategic risk and analytics platform, while validating whether it can serve selected near real-time inquiry workloads.</w:t>
      </w:r>
    </w:p>
    <w:p>
      <w:pPr>
        <w:pStyle w:val="ListBullet"/>
      </w:pPr>
      <w:r>
        <w:t>Position InfoP/CDM as the enterprise conformed data model, but explicitly define which domains require real-time vs batch freshness.</w:t>
      </w:r>
    </w:p>
    <w:p>
      <w:pPr>
        <w:pStyle w:val="ListBullet"/>
      </w:pPr>
      <w:r>
        <w:t>Use Dremio primarily as a governed access and bridge layer unless real-time performance tests prove it can satisfy operational workloads.</w:t>
      </w:r>
    </w:p>
    <w:p>
      <w:pPr>
        <w:pStyle w:val="ListBullet"/>
      </w:pPr>
      <w:r>
        <w:t>Evaluate DeepHaven only against specific unmet real-time interactive use cases, not as a generic additional platform.</w:t>
      </w:r>
    </w:p>
    <w:p>
      <w:pPr>
        <w:pStyle w:val="ListBullet"/>
      </w:pPr>
      <w:r>
        <w:t>Prioritize Unity Catalog integration and semantic mapping work early, because governance and discoverability are prerequisites for platform convergence.</w:t>
      </w:r>
    </w:p>
    <w:p>
      <w:pPr>
        <w:pStyle w:val="ListBullet"/>
      </w:pPr>
      <w:r>
        <w:t>Design a composite serving/API pattern where front-office users require integrated trade, enrichment, and risk views.</w:t>
      </w:r>
    </w:p>
    <w:p>
      <w:pPr>
        <w:pStyle w:val="Heading1"/>
      </w:pPr>
      <w:r>
        <w:t>15. Open Questions</w:t>
      </w:r>
    </w:p>
    <w:p>
      <w:pPr>
        <w:pStyle w:val="ListBullet"/>
      </w:pPr>
      <w:r>
        <w:t>What are the explicit latency SLAs for trader trade inquiry, enriched trade inquiry, and selected risk metric visibility?</w:t>
      </w:r>
    </w:p>
    <w:p>
      <w:pPr>
        <w:pStyle w:val="ListBullet"/>
      </w:pPr>
      <w:r>
        <w:t>Which domains in CDM must be real time, near real time, intraday, or EOD?</w:t>
      </w:r>
    </w:p>
    <w:p>
      <w:pPr>
        <w:pStyle w:val="ListBullet"/>
      </w:pPr>
      <w:r>
        <w:t>Can InfoP/CDM on Cloudera/Iceberg support the update frequency required by Credit Derivatives?</w:t>
      </w:r>
    </w:p>
    <w:p>
      <w:pPr>
        <w:pStyle w:val="ListBullet"/>
      </w:pPr>
      <w:r>
        <w:t>What is the exact role of Dremio: query engine, semantic bridge, catalog bridge, API back-end, or all of these?</w:t>
      </w:r>
    </w:p>
    <w:p>
      <w:pPr>
        <w:pStyle w:val="ListBullet"/>
      </w:pPr>
      <w:r>
        <w:t>How will Dremio metadata be published or federated into Unity Catalog?</w:t>
      </w:r>
    </w:p>
    <w:p>
      <w:pPr>
        <w:pStyle w:val="ListBullet"/>
      </w:pPr>
      <w:r>
        <w:t>Can Databricks SQL Warehouse satisfy front-office query concurrency and latency expectations?</w:t>
      </w:r>
    </w:p>
    <w:p>
      <w:pPr>
        <w:pStyle w:val="ListBullet"/>
      </w:pPr>
      <w:r>
        <w:t>What real-time event bus or ingestion mechanism will propagate TMS trade events to CDM and Risk Databricks?</w:t>
      </w:r>
    </w:p>
    <w:p>
      <w:pPr>
        <w:pStyle w:val="ListBullet"/>
      </w:pPr>
      <w:r>
        <w:t>Which platform owns enriched trade data after reference and market data joins are applied?</w:t>
      </w:r>
    </w:p>
    <w:p>
      <w:pPr>
        <w:pStyle w:val="ListBullet"/>
      </w:pPr>
      <w:r>
        <w:t>Which risk metrics should be visible to traders in real time vs near real time vs EOD?</w:t>
      </w:r>
    </w:p>
    <w:p>
      <w:pPr>
        <w:pStyle w:val="ListBullet"/>
      </w:pPr>
      <w:r>
        <w:t>What are the entitlements and data access rules across front office, analytics, risk, and operations?</w:t>
      </w:r>
    </w:p>
    <w:p>
      <w:pPr>
        <w:pStyle w:val="ListBullet"/>
      </w:pPr>
      <w:r>
        <w:t>What specific workloads would justify DeepHaven?</w:t>
      </w:r>
    </w:p>
    <w:p>
      <w:pPr>
        <w:pStyle w:val="ListBullet"/>
      </w:pPr>
      <w:r>
        <w:t>What network segment, firewall, and data movement constraints exist between InfoP, Dremio, TDVIP/Databricks, and front-office applications?</w:t>
      </w:r>
    </w:p>
    <w:p>
      <w:pPr>
        <w:pStyle w:val="Heading1"/>
      </w:pPr>
      <w:r>
        <w:t>16. Suggested Deck Structure</w:t>
      </w:r>
    </w:p>
    <w:p>
      <w:pPr>
        <w:pStyle w:val="ListBullet"/>
      </w:pPr>
      <w:r>
        <w:t>Why this matters: business goals and pain points</w:t>
      </w:r>
    </w:p>
    <w:p>
      <w:pPr>
        <w:pStyle w:val="ListBullet"/>
      </w:pPr>
      <w:r>
        <w:t>Current-state landscape: TMS, desk K+DB, Veritas, InfoP/CDM, Dremio, Databricks/TDVIP, DeepHaven</w:t>
      </w:r>
    </w:p>
    <w:p>
      <w:pPr>
        <w:pStyle w:val="ListBullet"/>
      </w:pPr>
      <w:r>
        <w:t>Key problem: fragmented semantics, duplicated data, and unclear workload ownership</w:t>
      </w:r>
    </w:p>
    <w:p>
      <w:pPr>
        <w:pStyle w:val="ListBullet"/>
      </w:pPr>
      <w:r>
        <w:t>Real-time vs near real-time vs EOD workload classification</w:t>
      </w:r>
    </w:p>
    <w:p>
      <w:pPr>
        <w:pStyle w:val="ListBullet"/>
      </w:pPr>
      <w:r>
        <w:t>Technology role comparison and caveats</w:t>
      </w:r>
    </w:p>
    <w:p>
      <w:pPr>
        <w:pStyle w:val="ListBullet"/>
      </w:pPr>
      <w:r>
        <w:t>Critical architecture decisions required</w:t>
      </w:r>
    </w:p>
    <w:p>
      <w:pPr>
        <w:pStyle w:val="ListBullet"/>
      </w:pPr>
      <w:r>
        <w:t>Candidate target architecture options</w:t>
      </w:r>
    </w:p>
    <w:p>
      <w:pPr>
        <w:pStyle w:val="ListBullet"/>
      </w:pPr>
      <w:r>
        <w:t>Recommended workstreams and proof-of-concept plan</w:t>
      </w:r>
    </w:p>
    <w:p>
      <w:pPr>
        <w:pStyle w:val="ListBullet"/>
      </w:pPr>
      <w:r>
        <w:t>Decision roadmap and next steps</w:t>
      </w:r>
    </w:p>
    <w:p>
      <w:r>
        <w:br w:type="page"/>
      </w:r>
    </w:p>
    <w:p>
      <w:pPr>
        <w:pStyle w:val="Heading1"/>
      </w:pPr>
      <w:r>
        <w:t>Additional Considerations – Semantics, Metrics, and Data Product Governance</w:t>
      </w:r>
    </w:p>
    <w:p/>
    <w:p>
      <w:r>
        <w:br/>
        <w:t>A critical architectural concern within the future-state platform is the definition, ownership, consistency, and execution of business semantics across analytical and operational workloads.</w:t>
        <w:br/>
        <w:br/>
        <w:t>The organization has already introduced concepts such as:</w:t>
        <w:br/>
        <w:t>• Data Contracts</w:t>
        <w:br/>
        <w:t>• Data Products</w:t>
        <w:br/>
        <w:t>• Domain Ownership</w:t>
        <w:br/>
        <w:t>• Enterprise Conformed Data Models (CDM)</w:t>
        <w:br/>
        <w:t>• Semantic Standardization</w:t>
        <w:br/>
        <w:br/>
        <w:t>However, the platform strategy must also explicitly address how analytical semantics are represented, governed, and executed across the ecosystem.</w:t>
        <w:br/>
        <w:br/>
        <w:t>Key semantic concerns include:</w:t>
        <w:br/>
        <w:t>• Definition of business calculations</w:t>
        <w:br/>
        <w:t>• Aggregation behavior</w:t>
        <w:br/>
        <w:t>• Hierarchical rollups</w:t>
        <w:br/>
        <w:t>• Risk metric interpretation</w:t>
        <w:br/>
        <w:t>• P&amp;L semantics</w:t>
        <w:br/>
        <w:t>• Exposure calculations</w:t>
        <w:br/>
        <w:t>• Time-series semantics</w:t>
        <w:br/>
        <w:t>• Cross-domain joins</w:t>
        <w:br/>
        <w:t>• Point-in-time consistency</w:t>
        <w:br/>
        <w:t>• Currency normalization</w:t>
        <w:br/>
        <w:t>• Derived business measures</w:t>
        <w:br/>
        <w:t>• Regulatory reporting calculations</w:t>
        <w:br/>
        <w:br/>
        <w:t>The architecture must determine where these semantics should reside and how they are operationalized consistently across the enterprise.</w:t>
        <w:br/>
        <w:br/>
        <w:t>Potential semantic implementation layers include:</w:t>
        <w:br/>
        <w:br/>
        <w:t>1. Data Contract Layer</w:t>
        <w:br/>
        <w:t>Semantics may be embedded directly into the data contract definitions, ensuring that producers and consumers share a consistent understanding of:</w:t>
        <w:br/>
        <w:t>• Data meaning</w:t>
        <w:br/>
        <w:t>• Data grain</w:t>
        <w:br/>
        <w:t>• Allowed transformations</w:t>
        <w:br/>
        <w:t>• Aggregation rules</w:t>
        <w:br/>
        <w:t>• Calculation lineage</w:t>
        <w:br/>
        <w:t>• Ownership boundaries</w:t>
        <w:br/>
        <w:br/>
        <w:t>2. Data Product Layer</w:t>
        <w:br/>
        <w:t>Semantics may be packaged directly within reusable data products, allowing:</w:t>
        <w:br/>
        <w:t>• Centralized metric logic</w:t>
        <w:br/>
        <w:t>• Reusable analytical definitions</w:t>
        <w:br/>
        <w:t>• Controlled governance</w:t>
        <w:br/>
        <w:t>• Versioned business calculations</w:t>
        <w:br/>
        <w:t>• Domain-owned metric publishing</w:t>
        <w:br/>
        <w:br/>
        <w:t>3. Semantic / Metrics Framework Layer</w:t>
        <w:br/>
        <w:t>A dedicated semantic layer may be required to standardize business metrics across reporting and analytics tools.</w:t>
        <w:br/>
        <w:br/>
        <w:t>Technologies under consideration include:</w:t>
        <w:br/>
        <w:t>• Databricks Metric Views</w:t>
        <w:br/>
        <w:t>• dbt Metrics / MetricFlow</w:t>
        <w:br/>
        <w:t>• Dremio semantic capabilities</w:t>
        <w:br/>
        <w:t>• BI-native semantic layers</w:t>
        <w:br/>
        <w:t>• Custom enterprise semantic frameworks</w:t>
        <w:br/>
        <w:br/>
        <w:t>Areas requiring evaluation:</w:t>
        <w:br/>
        <w:t>• Real-time metric support</w:t>
        <w:br/>
        <w:t>• Federated query compatibility</w:t>
        <w:br/>
        <w:t>• Multi-engine interoperability</w:t>
        <w:br/>
        <w:t>• Governance and lineage support</w:t>
        <w:br/>
        <w:t>• Cross-platform consistency</w:t>
        <w:br/>
        <w:t>• Support for dimensional modeling</w:t>
        <w:br/>
        <w:t>• Support for risk analytics semantics</w:t>
        <w:br/>
        <w:t>• Compatibility with Unity Catalog</w:t>
        <w:br/>
        <w:t>• Support for data contracts and domain ownership</w:t>
        <w:br/>
        <w:t>• Query performance implications</w:t>
        <w:br/>
        <w:br/>
        <w:t>4. BI Tool Layer</w:t>
        <w:br/>
        <w:t>An alternative approach is to externalize semantics into the BI tooling layer.</w:t>
        <w:br/>
        <w:br/>
        <w:t>Potential concerns with BI-centric semantics:</w:t>
        <w:br/>
        <w:t>• Duplication of metric logic</w:t>
        <w:br/>
        <w:t>• Divergence across reporting platforms</w:t>
        <w:br/>
        <w:t>• Lack of enterprise consistency</w:t>
        <w:br/>
        <w:t>• Governance fragmentation</w:t>
        <w:br/>
        <w:t>• Reduced traceability</w:t>
        <w:br/>
        <w:t>• Difficulty enforcing enterprise-wide definitions</w:t>
        <w:br/>
        <w:br/>
        <w:t>Strategic Architectural Question:</w:t>
        <w:br/>
        <w:t>The enterprise must determine whether semantics should be:</w:t>
        <w:br/>
        <w:t>• Embedded directly into the physical data model</w:t>
        <w:br/>
        <w:t>• Managed as a logical semantic layer</w:t>
        <w:br/>
        <w:t>• Owned as part of data products</w:t>
        <w:br/>
        <w:t>• Defined contractually</w:t>
        <w:br/>
        <w:t>• Implemented within BI tooling</w:t>
        <w:br/>
        <w:t>• Or implemented through a hybrid model</w:t>
        <w:br/>
        <w:br/>
        <w:t>This decision will significantly impact:</w:t>
        <w:br/>
        <w:t>• Governance</w:t>
        <w:br/>
        <w:t>• Performance</w:t>
        <w:br/>
        <w:t>• Reusability</w:t>
        <w:br/>
        <w:t>• Business alignment</w:t>
        <w:br/>
        <w:t>• Front-office usability</w:t>
        <w:br/>
        <w:t>• Risk consistency</w:t>
        <w:br/>
        <w:t>• Regulatory reporting</w:t>
        <w:br/>
        <w:t>• Enterprise analytics scalability</w:t>
        <w:br/>
        <w:br/>
        <w:t>Recommended Outcome:</w:t>
        <w:br/>
        <w:t>The target-state architecture should define:</w:t>
        <w:br/>
        <w:t>• A standardized enterprise semantic strategy</w:t>
        <w:br/>
        <w:t>• Ownership boundaries for metrics and calculations</w:t>
        <w:br/>
        <w:t>• A consistent enterprise metric catalog</w:t>
        <w:br/>
        <w:t>• Reusable business metric definitions</w:t>
        <w:br/>
        <w:t>• Semantic governance processes</w:t>
        <w:br/>
        <w:t>• Tooling standards for semantic execution</w:t>
        <w:br/>
        <w:t>• Alignment between CDM, Risk, and Front Office analytics</w:t>
        <w:br/>
        <w:t>• Clear guidance on when semantics belong in:</w:t>
        <w:br/>
        <w:t xml:space="preserve">  - Physical models</w:t>
        <w:br/>
        <w:t xml:space="preserve">  - Semantic layers</w:t>
        <w:br/>
        <w:t xml:space="preserve">  - Data products</w:t>
        <w:br/>
        <w:t xml:space="preserve">  - BI platforms</w:t>
        <w:br/>
        <w:t xml:space="preserve">  - APIs</w:t>
        <w:br/>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TD Securities Credit Derivatives Data &amp; Analytics Platform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Securities Credit Derivatives Data &amp; Analytics Platform Requirements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