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A63F5" w14:textId="77777777" w:rsidR="004B2D30" w:rsidRPr="006616C5" w:rsidRDefault="00000000" w:rsidP="006616C5">
      <w:pPr>
        <w:pStyle w:val="NoSpacing"/>
        <w:rPr>
          <w:b/>
          <w:bCs/>
          <w:sz w:val="16"/>
          <w:szCs w:val="16"/>
        </w:rPr>
      </w:pPr>
      <w:r w:rsidRPr="006616C5">
        <w:rPr>
          <w:b/>
          <w:bCs/>
          <w:sz w:val="16"/>
          <w:szCs w:val="16"/>
        </w:rPr>
        <w:t>George CCR Requirements – Translated from Image</w:t>
      </w:r>
    </w:p>
    <w:p w14:paraId="64897748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(1) Currency on the facility/exposure as it could be USD or CAD</w:t>
      </w:r>
    </w:p>
    <w:p w14:paraId="08B1F7BA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2E7943A2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(2) Current exposure – i.e. MtM</w:t>
      </w:r>
    </w:p>
    <w:p w14:paraId="7D246601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786A317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(3) Show the collateral – it’s a credit mitigant</w:t>
      </w:r>
    </w:p>
    <w:p w14:paraId="1CF995A7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Differentiate between IM and VM</w:t>
      </w:r>
    </w:p>
    <w:p w14:paraId="2DEEEA48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419E91F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(4) Show:</w:t>
      </w:r>
    </w:p>
    <w:p w14:paraId="7B537BD6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Trading desk from IHMS for each trade</w:t>
      </w:r>
    </w:p>
    <w:p w14:paraId="4CC2B448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Trader name</w:t>
      </w:r>
    </w:p>
    <w:p w14:paraId="648B0B71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Trading supervisor (from REDS-GRS)</w:t>
      </w:r>
    </w:p>
    <w:p w14:paraId="4542CD5C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2ECD1E10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(5) Show lending manager for each facility</w:t>
      </w:r>
    </w:p>
    <w:p w14:paraId="0E0704E9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3E5421D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(6) Add functionality to query by booking point to identify:</w:t>
      </w:r>
    </w:p>
    <w:p w14:paraId="3CA3A5C7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IHC / CUSO</w:t>
      </w:r>
    </w:p>
    <w:p w14:paraId="6D1B8740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Europe (TDGF)</w:t>
      </w:r>
    </w:p>
    <w:p w14:paraId="542098C9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Asia</w:t>
      </w:r>
    </w:p>
    <w:p w14:paraId="01923E80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etc.</w:t>
      </w:r>
    </w:p>
    <w:p w14:paraId="6274620E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25E29DB6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(7) Industry classification / SIC code</w:t>
      </w:r>
    </w:p>
    <w:p w14:paraId="01C92045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View for:</w:t>
      </w:r>
    </w:p>
    <w:p w14:paraId="1BE79FA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Non-bank financial institutions (NBFI)</w:t>
      </w:r>
    </w:p>
    <w:p w14:paraId="1FE59AE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Banks</w:t>
      </w:r>
    </w:p>
    <w:p w14:paraId="46752FD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Corporates</w:t>
      </w:r>
    </w:p>
    <w:p w14:paraId="18BA3337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Hedge Funds</w:t>
      </w:r>
    </w:p>
    <w:p w14:paraId="3A4B771C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SSAs</w:t>
      </w:r>
    </w:p>
    <w:p w14:paraId="7C253480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Commercial</w:t>
      </w:r>
    </w:p>
    <w:p w14:paraId="3A5C0FB5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FMTA</w:t>
      </w:r>
    </w:p>
    <w:p w14:paraId="78D35A4F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5F3C7472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(8) Decompose exposure by:</w:t>
      </w:r>
    </w:p>
    <w:p w14:paraId="2D4C1AE6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SIM</w:t>
      </w:r>
    </w:p>
    <w:p w14:paraId="5BB0A918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Non-SIM</w:t>
      </w:r>
    </w:p>
    <w:p w14:paraId="2353D8C2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Energy</w:t>
      </w:r>
    </w:p>
    <w:p w14:paraId="62AF588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Credit</w:t>
      </w:r>
    </w:p>
    <w:p w14:paraId="7BE4FD66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1ADA2CA4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(9) Portfolio statistics (include trending – e.g. YTD, QoQ, MoM)</w:t>
      </w:r>
    </w:p>
    <w:p w14:paraId="3EEF4959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7CDDB6E4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OTC:</w:t>
      </w:r>
    </w:p>
    <w:p w14:paraId="60BE47A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Notional by product type</w:t>
      </w:r>
    </w:p>
    <w:p w14:paraId="7ED0CBFA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MtM by product type</w:t>
      </w:r>
    </w:p>
    <w:p w14:paraId="2B2E39F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Top exposures by client type (NBFI, Banks, etc.)</w:t>
      </w:r>
    </w:p>
    <w:p w14:paraId="2773AF00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Top 10 DoD changes in absolute terms</w:t>
      </w:r>
    </w:p>
    <w:p w14:paraId="1C0D51CB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46079477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SFT:</w:t>
      </w:r>
    </w:p>
    <w:p w14:paraId="2BD76A28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Notional by underlying obligor (e.g. UST, GOC)</w:t>
      </w:r>
    </w:p>
    <w:p w14:paraId="02103A9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MtM by underlying obligor</w:t>
      </w:r>
    </w:p>
    <w:p w14:paraId="43A4F705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Top exposures by client type (NBFI, Banks, etc.)</w:t>
      </w:r>
    </w:p>
    <w:p w14:paraId="2AA542D4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Top 10 changes in DoD changes in absolute terms</w:t>
      </w:r>
    </w:p>
    <w:p w14:paraId="2101787D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50781319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(10) Within CCR Line Details, add:</w:t>
      </w:r>
    </w:p>
    <w:p w14:paraId="29818F0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Sensitivities (from SENTOR)</w:t>
      </w:r>
    </w:p>
    <w:p w14:paraId="6A59F848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1896C716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(11) Add a page with Stress Testing:</w:t>
      </w:r>
    </w:p>
    <w:p w14:paraId="6B60642A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Include stressed PFE and standard PFE</w:t>
      </w:r>
    </w:p>
    <w:p w14:paraId="6BEFA2E8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Include last load date (stress only produced monthly)</w:t>
      </w:r>
    </w:p>
    <w:p w14:paraId="63497DAA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Include MtM stress from RCS</w:t>
      </w:r>
    </w:p>
    <w:p w14:paraId="1566C571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Include any IA</w:t>
      </w:r>
    </w:p>
    <w:p w14:paraId="22B13BF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</w:t>
      </w:r>
      <w:proofErr w:type="gramStart"/>
      <w:r w:rsidRPr="006616C5">
        <w:rPr>
          <w:sz w:val="16"/>
          <w:szCs w:val="16"/>
        </w:rPr>
        <w:t>Again</w:t>
      </w:r>
      <w:proofErr w:type="gramEnd"/>
      <w:r w:rsidRPr="006616C5">
        <w:rPr>
          <w:sz w:val="16"/>
          <w:szCs w:val="16"/>
        </w:rPr>
        <w:t xml:space="preserve"> include last load date</w:t>
      </w:r>
    </w:p>
    <w:p w14:paraId="0457651B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27CE6A84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(12) Add a page with Issuer Risk:</w:t>
      </w:r>
    </w:p>
    <w:p w14:paraId="34D91C27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For repo:</w:t>
      </w:r>
    </w:p>
    <w:p w14:paraId="0819C19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Total notional by issuer (GOC, Gilt, US Agency, UST, etc.)</w:t>
      </w:r>
    </w:p>
    <w:p w14:paraId="5F255569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364A91E2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For OTC:</w:t>
      </w:r>
    </w:p>
    <w:p w14:paraId="65CB64CA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Underlying equity obligor risk</w:t>
      </w:r>
    </w:p>
    <w:p w14:paraId="46E6837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Delta equivalent notional (available in Colline)</w:t>
      </w:r>
    </w:p>
    <w:p w14:paraId="144EE751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320CDBE7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lastRenderedPageBreak/>
        <w:t xml:space="preserve">    - Notional by collateral underlying</w:t>
      </w:r>
    </w:p>
    <w:p w14:paraId="325CFFB7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GOC</w:t>
      </w:r>
    </w:p>
    <w:p w14:paraId="34CADE4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UST</w:t>
      </w:r>
    </w:p>
    <w:p w14:paraId="65BF3378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etc.</w:t>
      </w:r>
    </w:p>
    <w:p w14:paraId="73267A54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262FCC66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(13) On the country page:</w:t>
      </w:r>
    </w:p>
    <w:p w14:paraId="12C11D7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Do users need to know the 3-letter country code?</w:t>
      </w:r>
    </w:p>
    <w:p w14:paraId="1594A28C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Or can they search by country name (preferred)</w:t>
      </w:r>
    </w:p>
    <w:p w14:paraId="022C8471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00E1A3A5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(14) Can users search by:</w:t>
      </w:r>
    </w:p>
    <w:p w14:paraId="6B4F9415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Counterparty code</w:t>
      </w:r>
    </w:p>
    <w:p w14:paraId="66F0E1B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Counterparty name</w:t>
      </w:r>
    </w:p>
    <w:p w14:paraId="4210B68C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1637FD1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(15) On excesses:</w:t>
      </w:r>
    </w:p>
    <w:p w14:paraId="7CF61CB8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Can we identify facilities where limits are fungible?</w:t>
      </w:r>
    </w:p>
    <w:p w14:paraId="08B8C139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Most excesses are false positives</w:t>
      </w:r>
    </w:p>
    <w:p w14:paraId="32D95D48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57DC6820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(16) Add a page with data on discards</w:t>
      </w:r>
    </w:p>
    <w:p w14:paraId="3D936CB7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5BBE8132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(17) Create a “Watchlist” tab</w:t>
      </w:r>
    </w:p>
    <w:p w14:paraId="366F3767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63AD34E5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Include:</w:t>
      </w:r>
    </w:p>
    <w:p w14:paraId="06D3242A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1. User selects names to include</w:t>
      </w:r>
    </w:p>
    <w:p w14:paraId="6D1F131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2. Top 20 exposures for NIG counterparts</w:t>
      </w:r>
    </w:p>
    <w:p w14:paraId="5C2CE752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3. BRR downgraded counterparts over the last month</w:t>
      </w:r>
    </w:p>
    <w:p w14:paraId="41B32003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4. Counterparts with negative news</w:t>
      </w:r>
    </w:p>
    <w:p w14:paraId="0FDFEA29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(feasibility currently being explored)</w:t>
      </w:r>
    </w:p>
    <w:p w14:paraId="1C26DCEC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19F5FBCA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------------------------------------------------------------</w:t>
      </w:r>
    </w:p>
    <w:p w14:paraId="0CC934C0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1DF95E5A" w14:textId="77777777" w:rsidR="004B2D30" w:rsidRPr="006616C5" w:rsidRDefault="00000000" w:rsidP="006616C5">
      <w:pPr>
        <w:pStyle w:val="NoSpacing"/>
        <w:rPr>
          <w:b/>
          <w:bCs/>
          <w:sz w:val="16"/>
          <w:szCs w:val="16"/>
        </w:rPr>
      </w:pPr>
      <w:r w:rsidRPr="006616C5">
        <w:rPr>
          <w:b/>
          <w:bCs/>
          <w:sz w:val="16"/>
          <w:szCs w:val="16"/>
        </w:rPr>
        <w:t>Reena’s response / categorization:</w:t>
      </w:r>
    </w:p>
    <w:p w14:paraId="02A569CE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1ED8C5C6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The above naturally groups into six major data buckets:</w:t>
      </w:r>
    </w:p>
    <w:p w14:paraId="7D2810C6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05187697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1. Counterparty Profile</w:t>
      </w:r>
    </w:p>
    <w:p w14:paraId="168A3FAC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Name</w:t>
      </w:r>
    </w:p>
    <w:p w14:paraId="50B96188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Parent</w:t>
      </w:r>
    </w:p>
    <w:p w14:paraId="72DF7326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Industry</w:t>
      </w:r>
    </w:p>
    <w:p w14:paraId="0151635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Booking entity</w:t>
      </w:r>
    </w:p>
    <w:p w14:paraId="2A5D58C6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Issuer</w:t>
      </w:r>
    </w:p>
    <w:p w14:paraId="5A237F0B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1ECDA98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2. Agreements &amp; Limits</w:t>
      </w:r>
    </w:p>
    <w:p w14:paraId="52EE01E0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ISDA / CSA</w:t>
      </w:r>
    </w:p>
    <w:p w14:paraId="0FCADA0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IM / VM terms</w:t>
      </w:r>
    </w:p>
    <w:p w14:paraId="741BD8D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Currency</w:t>
      </w:r>
    </w:p>
    <w:p w14:paraId="6B5BCD08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Facility size</w:t>
      </w:r>
    </w:p>
    <w:p w14:paraId="3BD5AD02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0F5AFE5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3. People &amp; Accountability</w:t>
      </w:r>
    </w:p>
    <w:p w14:paraId="30DD316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Desk</w:t>
      </w:r>
    </w:p>
    <w:p w14:paraId="30BDA479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Trader</w:t>
      </w:r>
    </w:p>
    <w:p w14:paraId="765B7E2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Supervisor</w:t>
      </w:r>
    </w:p>
    <w:p w14:paraId="2F04D52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Lending manager</w:t>
      </w:r>
    </w:p>
    <w:p w14:paraId="6772DBD0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3C67AAC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4. Trading Activity</w:t>
      </w:r>
    </w:p>
    <w:p w14:paraId="70107E6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OTC</w:t>
      </w:r>
    </w:p>
    <w:p w14:paraId="43CECA0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SFT</w:t>
      </w:r>
    </w:p>
    <w:p w14:paraId="6F2A463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Notional</w:t>
      </w:r>
    </w:p>
    <w:p w14:paraId="43D5731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Product type</w:t>
      </w:r>
    </w:p>
    <w:p w14:paraId="6EAE2162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2943A47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5. Risk Measures</w:t>
      </w:r>
    </w:p>
    <w:p w14:paraId="230A1AD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MtM</w:t>
      </w:r>
    </w:p>
    <w:p w14:paraId="55B566C0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Collateral</w:t>
      </w:r>
    </w:p>
    <w:p w14:paraId="2B33C51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Sensitivities</w:t>
      </w:r>
    </w:p>
    <w:p w14:paraId="7C1DE2EA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PFE</w:t>
      </w:r>
    </w:p>
    <w:p w14:paraId="2197351A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Stressed PFE</w:t>
      </w:r>
    </w:p>
    <w:p w14:paraId="40DCF74B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7807D1B5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6. Watchlist / Analytical Views</w:t>
      </w:r>
    </w:p>
    <w:p w14:paraId="5F05084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Top exposures</w:t>
      </w:r>
    </w:p>
    <w:p w14:paraId="5F1CACC4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DoD movers</w:t>
      </w:r>
    </w:p>
    <w:p w14:paraId="6A1CD4E2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lastRenderedPageBreak/>
        <w:t xml:space="preserve">    - Trends</w:t>
      </w:r>
    </w:p>
    <w:p w14:paraId="6F1FE1B4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Breaches</w:t>
      </w:r>
    </w:p>
    <w:p w14:paraId="35229D0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Stress results</w:t>
      </w:r>
    </w:p>
    <w:p w14:paraId="0BEF82FF" w14:textId="77777777" w:rsidR="004B2D30" w:rsidRPr="006616C5" w:rsidRDefault="004B2D30" w:rsidP="006616C5">
      <w:pPr>
        <w:pStyle w:val="NoSpacing"/>
        <w:rPr>
          <w:sz w:val="16"/>
          <w:szCs w:val="16"/>
        </w:rPr>
      </w:pPr>
    </w:p>
    <w:p w14:paraId="7E81157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>Additional architectural points raised:</w:t>
      </w:r>
    </w:p>
    <w:p w14:paraId="3922B76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AI watchlist capability is only as good as the underlying governed data products</w:t>
      </w:r>
    </w:p>
    <w:p w14:paraId="03E3A80B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Need to understand:</w:t>
      </w:r>
    </w:p>
    <w:p w14:paraId="4FB2607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Which feeds drive each bucket</w:t>
      </w:r>
    </w:p>
    <w:p w14:paraId="092CD250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Which are sourced directly</w:t>
      </w:r>
    </w:p>
    <w:p w14:paraId="178D094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Which are reconstructed manually</w:t>
      </w:r>
    </w:p>
    <w:p w14:paraId="18AA9855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Bringing the right data together is step one</w:t>
      </w:r>
    </w:p>
    <w:p w14:paraId="63A2A1AF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- Equally important:</w:t>
      </w:r>
    </w:p>
    <w:p w14:paraId="7121A83D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Structuring once in Databricks</w:t>
      </w:r>
    </w:p>
    <w:p w14:paraId="33401B0E" w14:textId="77777777" w:rsidR="004B2D30" w:rsidRPr="006616C5" w:rsidRDefault="00000000" w:rsidP="006616C5">
      <w:pPr>
        <w:pStyle w:val="NoSpacing"/>
        <w:rPr>
          <w:sz w:val="16"/>
          <w:szCs w:val="16"/>
        </w:rPr>
      </w:pPr>
      <w:r w:rsidRPr="006616C5">
        <w:rPr>
          <w:sz w:val="16"/>
          <w:szCs w:val="16"/>
        </w:rPr>
        <w:t xml:space="preserve">        - Reusing across PowerBI, Strategy, and future BI tools</w:t>
      </w:r>
    </w:p>
    <w:sectPr w:rsidR="004B2D30" w:rsidRPr="006616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753463">
    <w:abstractNumId w:val="8"/>
  </w:num>
  <w:num w:numId="2" w16cid:durableId="731074609">
    <w:abstractNumId w:val="6"/>
  </w:num>
  <w:num w:numId="3" w16cid:durableId="1431120264">
    <w:abstractNumId w:val="5"/>
  </w:num>
  <w:num w:numId="4" w16cid:durableId="1905796162">
    <w:abstractNumId w:val="4"/>
  </w:num>
  <w:num w:numId="5" w16cid:durableId="850685308">
    <w:abstractNumId w:val="7"/>
  </w:num>
  <w:num w:numId="6" w16cid:durableId="468479638">
    <w:abstractNumId w:val="3"/>
  </w:num>
  <w:num w:numId="7" w16cid:durableId="169759487">
    <w:abstractNumId w:val="2"/>
  </w:num>
  <w:num w:numId="8" w16cid:durableId="1294015922">
    <w:abstractNumId w:val="1"/>
  </w:num>
  <w:num w:numId="9" w16cid:durableId="709065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2D30"/>
    <w:rsid w:val="006616C5"/>
    <w:rsid w:val="00AA1D8D"/>
    <w:rsid w:val="00B47730"/>
    <w:rsid w:val="00CB0664"/>
    <w:rsid w:val="00FC693F"/>
    <w:rsid w:val="00FD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8F9B63"/>
  <w14:defaultImageDpi w14:val="300"/>
  <w15:docId w15:val="{89319E00-BC6E-7E4F-8D1B-E8D8F08EE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641</Words>
  <Characters>3071</Characters>
  <Application>Microsoft Office Word</Application>
  <DocSecurity>0</DocSecurity>
  <Lines>180</Lines>
  <Paragraphs>168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Reena Cheema</cp:lastModifiedBy>
  <cp:revision>2</cp:revision>
  <dcterms:created xsi:type="dcterms:W3CDTF">2013-12-23T23:15:00Z</dcterms:created>
  <dcterms:modified xsi:type="dcterms:W3CDTF">2026-05-06T11:38:00Z</dcterms:modified>
  <cp:category/>
</cp:coreProperties>
</file>