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012ed1b496e784812c9b7671af4aa1210047cbf"/>
    <w:p>
      <w:pPr>
        <w:pStyle w:val="Heading1"/>
      </w:pPr>
      <w:r>
        <w:t xml:space="preserve">Risk Data — Confluence Content Source File · v2</w:t>
      </w:r>
    </w:p>
    <w:p>
      <w:pPr>
        <w:pStyle w:val="FirstParagraph"/>
      </w:pPr>
      <w:r>
        <w:rPr>
          <w:iCs/>
          <w:i/>
        </w:rPr>
        <w:t xml:space="preserve">Build instructions for Reena: each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## PAGE: &lt;name&gt;</w:t>
      </w:r>
      <w:r>
        <w:rPr>
          <w:iCs/>
          <w:i/>
        </w:rPr>
        <w:t xml:space="preserve"> </w:t>
      </w:r>
      <w:r>
        <w:rPr>
          <w:iCs/>
          <w:i/>
        </w:rPr>
        <w:t xml:space="preserve">section below corresponds to one Confluence page. Create the page with that exact name, paste the content under that heading. Where you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[/toc]</w:t>
      </w:r>
      <w:r>
        <w:rPr>
          <w:iCs/>
          <w:i/>
        </w:rPr>
        <w:t xml:space="preserve"> </w:t>
      </w:r>
      <w:r>
        <w:rPr>
          <w:iCs/>
          <w:i/>
        </w:rPr>
        <w:t xml:space="preserve">insert Confluence’s Table of Contents macro (type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/toc</w:t>
      </w:r>
      <w:r>
        <w:rPr>
          <w:iCs/>
          <w:i/>
        </w:rPr>
        <w:t xml:space="preserve"> </w:t>
      </w:r>
      <w:r>
        <w:rPr>
          <w:iCs/>
          <w:i/>
        </w:rPr>
        <w:t xml:space="preserve">and select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Table of Contents</w:t>
      </w:r>
      <w:r>
        <w:rPr>
          <w:iCs/>
          <w:i/>
        </w:rPr>
        <w:t xml:space="preserve">”</w:t>
      </w:r>
      <w:r>
        <w:rPr>
          <w:iCs/>
          <w:i/>
        </w:rPr>
        <w:t xml:space="preserve">). Where you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[IMAGE: ...]</w:t>
      </w:r>
      <w:r>
        <w:rPr>
          <w:iCs/>
          <w:i/>
        </w:rPr>
        <w:t xml:space="preserve"> </w:t>
      </w:r>
      <w:r>
        <w:rPr>
          <w:iCs/>
          <w:i/>
        </w:rPr>
        <w:t xml:space="preserve">paste the image from the source file noted.</w:t>
      </w:r>
    </w:p>
    <w:p>
      <w:pPr>
        <w:pStyle w:val="BodyText"/>
      </w:pPr>
      <w:r>
        <w:rPr>
          <w:iCs/>
          <w:i/>
        </w:rPr>
        <w:t xml:space="preserve">Page hierarchy in your space:</w:t>
      </w:r>
    </w:p>
    <w:p>
      <w:pPr>
        <w:pStyle w:val="SourceCode"/>
      </w:pPr>
      <w:r>
        <w:rPr>
          <w:rStyle w:val="VerbatimChar"/>
        </w:rPr>
        <w:t xml:space="preserve">Risk Architecture (existing parent)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🌟 Risk Analytics — North Star  ........................ [SIBLING page]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🔧 Risk-Databricks Operating Model  ..................... [YOUR separate page; not in this file]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Risk Data — Operating Model &amp; Standards  ............... [LANDING page]</w:t>
      </w:r>
      <w:r>
        <w:br/>
      </w:r>
      <w:r>
        <w:rPr>
          <w:rStyle w:val="VerbatimChar"/>
        </w:rPr>
        <w:t xml:space="preserve">    ├── 1. Operating Model</w:t>
      </w:r>
      <w:r>
        <w:br/>
      </w:r>
      <w:r>
        <w:rPr>
          <w:rStyle w:val="VerbatimChar"/>
        </w:rPr>
        <w:t xml:space="preserve">    ├── 2. Architecture &amp; Design</w:t>
      </w:r>
      <w:r>
        <w:br/>
      </w:r>
      <w:r>
        <w:rPr>
          <w:rStyle w:val="VerbatimChar"/>
        </w:rPr>
        <w:t xml:space="preserve">    ├── 3. Standards &amp; Artifacts Library</w:t>
      </w:r>
      <w:r>
        <w:br/>
      </w:r>
      <w:r>
        <w:rPr>
          <w:rStyle w:val="VerbatimChar"/>
        </w:rPr>
        <w:t xml:space="preserve">    ├── 4. Glossary &amp; Terminology</w:t>
      </w:r>
      <w:r>
        <w:br/>
      </w:r>
      <w:r>
        <w:rPr>
          <w:rStyle w:val="VerbatimChar"/>
        </w:rPr>
        <w:t xml:space="preserve">    ├── 5. Worked Example — Counterparty 360 Product</w:t>
      </w:r>
      <w:r>
        <w:br/>
      </w:r>
      <w:r>
        <w:rPr>
          <w:rStyle w:val="VerbatimChar"/>
        </w:rPr>
        <w:t xml:space="preserve">    └── 6. Governance &amp; Cadence</w:t>
      </w:r>
    </w:p>
    <w:p>
      <w:r>
        <w:pict>
          <v:rect style="width:0;height:1.5pt" o:hralign="center" o:hrstd="t" o:hr="t"/>
        </w:pict>
      </w:r>
    </w:p>
    <w:bookmarkStart w:id="25" w:name="page-risk-analytics-north-star"/>
    <w:p>
      <w:pPr>
        <w:pStyle w:val="Heading2"/>
      </w:pPr>
      <w:r>
        <w:t xml:space="preserve">PAGE: Risk Analytics — North Star</w:t>
      </w:r>
    </w:p>
    <w:p>
      <w:pPr>
        <w:pStyle w:val="FirstParagraph"/>
      </w:pPr>
      <w:r>
        <w:rPr>
          <w:iCs/>
          <w:i/>
        </w:rPr>
        <w:t xml:space="preserve">Risk Architecture › Risk Analytics — North Star</w:t>
      </w:r>
    </w:p>
    <w:p>
      <w:pPr>
        <w:pStyle w:val="BodyText"/>
      </w:pPr>
      <w:r>
        <w:t xml:space="preserve">[/toc]</w:t>
      </w:r>
    </w:p>
    <w:p>
      <w:pPr>
        <w:pStyle w:val="BlockText"/>
      </w:pPr>
      <w:r>
        <w:rPr>
          <w:bCs/>
          <w:b/>
        </w:rPr>
        <w:t xml:space="preserve">Page purpose:</w:t>
      </w:r>
      <w:r>
        <w:t xml:space="preserve"> </w:t>
      </w:r>
      <w:r>
        <w:t xml:space="preserve">A plain-language vision statement for where Risk Analytics is headed and why.</w:t>
      </w:r>
      <w:r>
        <w:t xml:space="preserve"> </w:t>
      </w:r>
      <w:r>
        <w:rPr>
          <w:bCs/>
          <w:b/>
        </w:rPr>
        <w:t xml:space="preserve">Read this if:</w:t>
      </w:r>
      <w:r>
        <w:t xml:space="preserve"> </w:t>
      </w:r>
      <w:r>
        <w:t xml:space="preserve">you want context on the strategic direction before going into operating-model details.</w:t>
      </w:r>
    </w:p>
    <w:p>
      <w:r>
        <w:pict>
          <v:rect style="width:0;height:1.5pt" o:hralign="center" o:hrstd="t" o:hr="t"/>
        </w:pict>
      </w:r>
    </w:p>
    <w:bookmarkStart w:id="20" w:name="Xc7fda6bf6859389cdee2b8cdaff9f5db85e3ef5"/>
    <w:p>
      <w:pPr>
        <w:pStyle w:val="Heading3"/>
      </w:pPr>
      <w:r>
        <w:t xml:space="preserve">Why current risk analytics feels difficult</w:t>
      </w:r>
    </w:p>
    <w:p>
      <w:pPr>
        <w:pStyle w:val="FirstParagraph"/>
      </w:pPr>
      <w:r>
        <w:t xml:space="preserve">Most risk organisations today are application-centric. Applications produce calculations, reports, and extracts — but business teams still spend large amounts of time reconstructing meaning before analytics can begin.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Current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 applications produce different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teams merge spreadsheets repeatedly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Duplicated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 interpreted differently across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connect directly to app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Fragile downstream dependencies</w:t>
            </w:r>
          </w:p>
        </w:tc>
      </w:tr>
    </w:tbl>
    <w:bookmarkEnd w:id="20"/>
    <w:bookmarkStart w:id="21" w:name="the-core-insight"/>
    <w:p>
      <w:pPr>
        <w:pStyle w:val="Heading3"/>
      </w:pPr>
      <w:r>
        <w:t xml:space="preserve">The core insight</w:t>
      </w:r>
    </w:p>
    <w:p>
      <w:pPr>
        <w:pStyle w:val="FirstParagraph"/>
      </w:pPr>
      <w:r>
        <w:t xml:space="preserve">Applications generate risk calculations.</w:t>
      </w:r>
      <w:r>
        <w:t xml:space="preserve"> </w:t>
      </w:r>
      <w:r>
        <w:rPr>
          <w:bCs/>
          <w:b/>
        </w:rPr>
        <w:t xml:space="preserve">They do not automatically generate reusable analytical meaning.</w:t>
      </w:r>
    </w:p>
    <w:p>
      <w:pPr>
        <w:pStyle w:val="BlockText"/>
      </w:pPr>
      <w:r>
        <w:t xml:space="preserve">Modern risk analytics industrialises meaning so that business users consume trusted, reusable insights.</w:t>
      </w:r>
    </w:p>
    <w:bookmarkEnd w:id="21"/>
    <w:bookmarkStart w:id="22" w:name="the-risk-data-journey"/>
    <w:p>
      <w:pPr>
        <w:pStyle w:val="Heading3"/>
      </w:pPr>
      <w:r>
        <w:t xml:space="preserve">The risk data journey</w:t>
      </w:r>
    </w:p>
    <w:p>
      <w:pPr>
        <w:pStyle w:val="FirstParagraph"/>
      </w:pPr>
      <w:r>
        <w:t xml:space="preserve">[IMAGE: Risk Data Journey (vision style) — paste from</w:t>
      </w:r>
      <w:r>
        <w:t xml:space="preserve"> </w:t>
      </w:r>
      <w:r>
        <w:rPr>
          <w:rStyle w:val="VerbatimChar"/>
        </w:rPr>
        <w:t xml:space="preserve">north_star_visuals_v1.pptx</w:t>
      </w:r>
      <w:r>
        <w:t xml:space="preserve">, Slide 1]</w:t>
      </w:r>
    </w:p>
    <w:p>
      <w:pPr>
        <w:pStyle w:val="BodyText"/>
      </w:pPr>
      <w:r>
        <w:t xml:space="preserve">The same data evolves through six maturity stages before it becomes trusted self-service analytics. Each stage adds something specific. Skip a stage and that stage’s value is missing.</w:t>
      </w:r>
    </w:p>
    <w:bookmarkEnd w:id="22"/>
    <w:bookmarkStart w:id="23" w:name="Xb9abb542c7050d8ece6eb06daaca764b79e4f52"/>
    <w:p>
      <w:pPr>
        <w:pStyle w:val="Heading3"/>
      </w:pPr>
      <w:r>
        <w:t xml:space="preserve">Same business question, two consumer experiences</w:t>
      </w:r>
    </w:p>
    <w:p>
      <w:pPr>
        <w:pStyle w:val="FirstParagraph"/>
      </w:pPr>
      <w:r>
        <w:t xml:space="preserve">[IMAGE: Today vs Future State — paste from</w:t>
      </w:r>
      <w:r>
        <w:t xml:space="preserve"> </w:t>
      </w:r>
      <w:r>
        <w:rPr>
          <w:rStyle w:val="VerbatimChar"/>
        </w:rPr>
        <w:t xml:space="preserve">north_star_visuals_v1.pptx</w:t>
      </w:r>
      <w:r>
        <w:t xml:space="preserve">, Slide 2]</w:t>
      </w:r>
    </w:p>
    <w:p>
      <w:pPr>
        <w:pStyle w:val="BodyText"/>
      </w:pPr>
      <w:r>
        <w:t xml:space="preserve">The same business ask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Show total exposure, collateral, stress exposure, and breaches for ABC Bank</w:t>
      </w:r>
      <w:r>
        <w:rPr>
          <w:iCs/>
          <w:i/>
        </w:rPr>
        <w:t xml:space="preserve">”</w:t>
      </w:r>
      <w:r>
        <w:t xml:space="preserve"> </w:t>
      </w:r>
      <w:r>
        <w:t xml:space="preserve">— produces a very different consumer experience depending on whether the underlying data is application-centric or analytics-centric.</w:t>
      </w:r>
    </w:p>
    <w:bookmarkEnd w:id="23"/>
    <w:bookmarkStart w:id="24" w:name="where-this-is-heading"/>
    <w:p>
      <w:pPr>
        <w:pStyle w:val="Heading3"/>
      </w:pPr>
      <w:r>
        <w:t xml:space="preserve">Where this is heading</w:t>
      </w:r>
    </w:p>
    <w:p>
      <w:pPr>
        <w:pStyle w:val="FirstParagraph"/>
      </w:pPr>
      <w:r>
        <w:t xml:space="preserve">Applications continue to generate risk calculations.</w:t>
      </w:r>
      <w:r>
        <w:t xml:space="preserve"> </w:t>
      </w:r>
      <w:r>
        <w:t xml:space="preserve">Analytics products industrialise meaning.</w:t>
      </w:r>
      <w:r>
        <w:t xml:space="preserve"> </w:t>
      </w:r>
      <w:r>
        <w:t xml:space="preserve">Business consumes trusted, reusable insights.</w:t>
      </w:r>
    </w:p>
    <w:p>
      <w:pPr>
        <w:pStyle w:val="BodyText"/>
      </w:pPr>
      <w:r>
        <w:t xml:space="preserve">The objective is not simply more reporting. The objective is</w:t>
      </w:r>
      <w:r>
        <w:t xml:space="preserve"> </w:t>
      </w:r>
      <w:r>
        <w:rPr>
          <w:bCs/>
          <w:b/>
        </w:rPr>
        <w:t xml:space="preserve">trusted, scalable, reusable analytics.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Where to next:</w:t>
      </w:r>
    </w:p>
    <w:p>
      <w:pPr>
        <w:numPr>
          <w:ilvl w:val="0"/>
          <w:numId w:val="1001"/>
        </w:numPr>
        <w:pStyle w:val="Compact"/>
      </w:pPr>
      <w:r>
        <w:t xml:space="preserve">→ For how this works in practice:</w:t>
      </w:r>
      <w:r>
        <w:t xml:space="preserve"> </w:t>
      </w:r>
      <w:r>
        <w:rPr>
          <w:bCs/>
          <w:b/>
        </w:rPr>
        <w:t xml:space="preserve">Risk Data — Operating Model &amp; Standards</w:t>
      </w:r>
      <w:r>
        <w:t xml:space="preserve"> </w:t>
      </w:r>
      <w:r>
        <w:t xml:space="preserve">(landing)</w:t>
      </w:r>
    </w:p>
    <w:p>
      <w:pPr>
        <w:numPr>
          <w:ilvl w:val="0"/>
          <w:numId w:val="1001"/>
        </w:numPr>
        <w:pStyle w:val="Compact"/>
      </w:pPr>
      <w:r>
        <w:t xml:space="preserve">→ For the technical platform:</w:t>
      </w:r>
      <w:r>
        <w:t xml:space="preserve"> </w:t>
      </w:r>
      <w:r>
        <w:rPr>
          <w:bCs/>
          <w:b/>
        </w:rPr>
        <w:t xml:space="preserve">Risk-Databricks Operating Model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page-risk-data-operating-model-standards"/>
    <w:p>
      <w:pPr>
        <w:pStyle w:val="Heading2"/>
      </w:pPr>
      <w:r>
        <w:t xml:space="preserve">PAGE: Risk Data — Operating Model &amp; Standards</w:t>
      </w:r>
    </w:p>
    <w:p>
      <w:pPr>
        <w:pStyle w:val="FirstParagraph"/>
      </w:pPr>
      <w:r>
        <w:rPr>
          <w:iCs/>
          <w:i/>
        </w:rPr>
        <w:t xml:space="preserve">Risk Architecture › Risk Data — Operating Model &amp; Standards</w:t>
      </w:r>
    </w:p>
    <w:p>
      <w:pPr>
        <w:pStyle w:val="BodyText"/>
      </w:pPr>
      <w:r>
        <w:rPr>
          <w:iCs/>
          <w:i/>
        </w:rPr>
        <w:t xml:space="preserve">Maintained by Risk Data Director · Audience: app teams, business, central, infra · Updated May 2026</w:t>
      </w:r>
    </w:p>
    <w:p>
      <w:pPr>
        <w:pStyle w:val="BlockText"/>
      </w:pPr>
      <w:r>
        <w:rPr>
          <w:bCs/>
          <w:b/>
        </w:rPr>
        <w:t xml:space="preserve">Page purpose:</w:t>
      </w:r>
      <w:r>
        <w:t xml:space="preserve"> </w:t>
      </w:r>
      <w:r>
        <w:t xml:space="preserve">Landing page for everything related to how Risk Data operates day-to-day.</w:t>
      </w:r>
      <w:r>
        <w:t xml:space="preserve"> </w:t>
      </w:r>
      <w:r>
        <w:rPr>
          <w:bCs/>
          <w:b/>
        </w:rPr>
        <w:t xml:space="preserve">Read this if:</w:t>
      </w:r>
      <w:r>
        <w:t xml:space="preserve"> </w:t>
      </w:r>
      <w:r>
        <w:t xml:space="preserve">you’re an app owner, business stakeholder, central, or infra team interacting with Risk Analytics.</w:t>
      </w:r>
    </w:p>
    <w:p>
      <w:r>
        <w:pict>
          <v:rect style="width:0;height:1.5pt" o:hralign="center" o:hrstd="t" o:hr="t"/>
        </w:pict>
      </w:r>
    </w:p>
    <w:bookmarkStart w:id="26" w:name="whats-in-this-space"/>
    <w:p>
      <w:pPr>
        <w:pStyle w:val="Heading3"/>
      </w:pPr>
      <w:r>
        <w:t xml:space="preserve">What’s in this space</w:t>
      </w:r>
    </w:p>
    <w:p>
      <w:pPr>
        <w:pStyle w:val="FirstParagraph"/>
      </w:pPr>
      <w:r>
        <w:t xml:space="preserve">This space documents</w:t>
      </w:r>
      <w:r>
        <w:t xml:space="preserve"> </w:t>
      </w:r>
      <w:r>
        <w:rPr>
          <w:bCs/>
          <w:b/>
        </w:rPr>
        <w:t xml:space="preserve">how Risk Data operates</w:t>
      </w:r>
      <w:r>
        <w:t xml:space="preserve"> </w:t>
      </w:r>
      <w:r>
        <w:t xml:space="preserve">— who does what, the standards everyone follows, the templates teams use, and the patterns that keep things consistent as more teams come on board.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9"/>
        <w:gridCol w:w="2704"/>
        <w:gridCol w:w="4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this if you…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Operating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Teams, roles, working relationships, federation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 to know who does 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Architecture &amp;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journey, artifact types, code &amp; update behaviours, 360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 to understand how Risk Data is structured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Standards &amp; Artifacts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form, contract template, UC tag standards, schema standard, semantic layer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bringing data to analytics or building a data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Glossary &amp; Terminology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concepts, the 6 stages explained, common confusions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 a term and want to know 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Worked Example — Counterparty 360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walk-through of how a 360-style product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 to see the patterns applied to a real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Governance &amp;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cadence, project roster, change management for these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 to know how decisions get made</w:t>
            </w:r>
          </w:p>
        </w:tc>
      </w:tr>
    </w:tbl>
    <w:bookmarkEnd w:id="26"/>
    <w:bookmarkStart w:id="27" w:name="how-to-engage"/>
    <w:p>
      <w:pPr>
        <w:pStyle w:val="Heading3"/>
      </w:pPr>
      <w:r>
        <w:t xml:space="preserve">How to engage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 teams:</w:t>
      </w:r>
      <w:r>
        <w:t xml:space="preserve"> </w:t>
      </w:r>
      <w:r>
        <w:t xml:space="preserve">Start with</w:t>
      </w:r>
      <w:r>
        <w:t xml:space="preserve"> </w:t>
      </w:r>
      <w:r>
        <w:rPr>
          <w:iCs/>
          <w:i/>
        </w:rPr>
        <w:t xml:space="preserve">Operating Model</w:t>
      </w:r>
      <w:r>
        <w:t xml:space="preserve"> </w:t>
      </w:r>
      <w:r>
        <w:t xml:space="preserve">to understand what’s expected. Then</w:t>
      </w:r>
      <w:r>
        <w:t xml:space="preserve"> </w:t>
      </w:r>
      <w:r>
        <w:rPr>
          <w:iCs/>
          <w:i/>
        </w:rPr>
        <w:t xml:space="preserve">Standards &amp; Artifacts Library</w:t>
      </w:r>
      <w:r>
        <w:t xml:space="preserve"> </w:t>
      </w:r>
      <w:r>
        <w:t xml:space="preserve">when bringing data to the analytics layer.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Business:</w:t>
      </w:r>
      <w:r>
        <w:t xml:space="preserve"> </w:t>
      </w:r>
      <w:r>
        <w:t xml:space="preserve">Start with</w:t>
      </w:r>
      <w:r>
        <w:t xml:space="preserve"> </w:t>
      </w:r>
      <w:r>
        <w:rPr>
          <w:iCs/>
          <w:i/>
        </w:rPr>
        <w:t xml:space="preserve">Operating Model</w:t>
      </w:r>
      <w:r>
        <w:t xml:space="preserve"> </w:t>
      </w:r>
      <w:r>
        <w:t xml:space="preserve">for who-does-what.</w:t>
      </w:r>
      <w:r>
        <w:t xml:space="preserve"> </w:t>
      </w:r>
      <w:r>
        <w:rPr>
          <w:iCs/>
          <w:i/>
        </w:rPr>
        <w:t xml:space="preserve">Worked Example</w:t>
      </w:r>
      <w:r>
        <w:t xml:space="preserve"> </w:t>
      </w:r>
      <w:r>
        <w:t xml:space="preserve">shows how analytics products serve business questions.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Central / Infra:</w:t>
      </w:r>
      <w:r>
        <w:t xml:space="preserve"> </w:t>
      </w:r>
      <w:r>
        <w:rPr>
          <w:iCs/>
          <w:i/>
        </w:rPr>
        <w:t xml:space="preserve">Operating Model</w:t>
      </w:r>
      <w:r>
        <w:t xml:space="preserve"> </w:t>
      </w:r>
      <w:r>
        <w:t xml:space="preserve">explains where Risk fits in the federated picture.</w:t>
      </w:r>
    </w:p>
    <w:bookmarkEnd w:id="27"/>
    <w:bookmarkStart w:id="29" w:name="quick-links"/>
    <w:p>
      <w:pPr>
        <w:pStyle w:val="Heading3"/>
      </w:pPr>
      <w:r>
        <w:t xml:space="preserve">Quick links</w:t>
      </w:r>
    </w:p>
    <w:p>
      <w:pPr>
        <w:numPr>
          <w:ilvl w:val="0"/>
          <w:numId w:val="1003"/>
        </w:numPr>
        <w:pStyle w:val="Compact"/>
      </w:pPr>
      <w:r>
        <w:t xml:space="preserve">🔗</w:t>
      </w:r>
      <w:r>
        <w:t xml:space="preserve"> </w:t>
      </w:r>
      <w:hyperlink r:id="rId28">
        <w:r>
          <w:rPr>
            <w:rStyle w:val="Hyperlink"/>
          </w:rPr>
          <w:t xml:space="preserve">CDO Standards &amp; Policies</w:t>
        </w:r>
      </w:hyperlink>
    </w:p>
    <w:p>
      <w:pPr>
        <w:numPr>
          <w:ilvl w:val="0"/>
          <w:numId w:val="1003"/>
        </w:numPr>
        <w:pStyle w:val="Compact"/>
      </w:pPr>
      <w:r>
        <w:t xml:space="preserve">🔗</w:t>
      </w:r>
      <w:r>
        <w:t xml:space="preserve"> </w:t>
      </w:r>
      <w:hyperlink r:id="rId28">
        <w:r>
          <w:rPr>
            <w:rStyle w:val="Hyperlink"/>
          </w:rPr>
          <w:t xml:space="preserve">Enterprise Architecture wiki</w:t>
        </w:r>
      </w:hyperlink>
    </w:p>
    <w:p>
      <w:pPr>
        <w:numPr>
          <w:ilvl w:val="0"/>
          <w:numId w:val="1003"/>
        </w:numPr>
        <w:pStyle w:val="Compact"/>
      </w:pPr>
      <w:r>
        <w:t xml:space="preserve">🔗</w:t>
      </w:r>
      <w:r>
        <w:t xml:space="preserve"> </w:t>
      </w:r>
      <w:hyperlink r:id="rId28">
        <w:r>
          <w:rPr>
            <w:rStyle w:val="Hyperlink"/>
          </w:rPr>
          <w:t xml:space="preserve">Data Sharing</w:t>
        </w:r>
      </w:hyperlink>
    </w:p>
    <w:p>
      <w:pPr>
        <w:numPr>
          <w:ilvl w:val="0"/>
          <w:numId w:val="1003"/>
        </w:numPr>
        <w:pStyle w:val="Compact"/>
      </w:pPr>
      <w:r>
        <w:t xml:space="preserve">🔗</w:t>
      </w:r>
      <w:r>
        <w:t xml:space="preserve"> </w:t>
      </w:r>
      <w:hyperlink r:id="rId28">
        <w:r>
          <w:rPr>
            <w:rStyle w:val="Hyperlink"/>
          </w:rPr>
          <w:t xml:space="preserve">Enterprise Data Classification</w:t>
        </w:r>
      </w:hyperlink>
    </w:p>
    <w:p>
      <w:pPr>
        <w:numPr>
          <w:ilvl w:val="0"/>
          <w:numId w:val="1003"/>
        </w:numPr>
        <w:pStyle w:val="Compact"/>
      </w:pPr>
      <w:r>
        <w:t xml:space="preserve">🔗</w:t>
      </w:r>
      <w:r>
        <w:t xml:space="preserve"> </w:t>
      </w:r>
      <w:hyperlink r:id="rId28">
        <w:r>
          <w:rPr>
            <w:rStyle w:val="Hyperlink"/>
          </w:rPr>
          <w:t xml:space="preserve">Risk Analytics — North Star</w:t>
        </w:r>
      </w:hyperlink>
      <w:r>
        <w:t xml:space="preserve"> </w:t>
      </w:r>
      <w:r>
        <w:rPr>
          <w:iCs/>
          <w:i/>
        </w:rPr>
        <w:t xml:space="preserve">(sibling page)</w:t>
      </w:r>
    </w:p>
    <w:p>
      <w:pPr>
        <w:numPr>
          <w:ilvl w:val="0"/>
          <w:numId w:val="1003"/>
        </w:numPr>
        <w:pStyle w:val="Compact"/>
      </w:pPr>
      <w:r>
        <w:t xml:space="preserve">🔗</w:t>
      </w:r>
      <w:r>
        <w:t xml:space="preserve"> </w:t>
      </w:r>
      <w:hyperlink r:id="rId28">
        <w:r>
          <w:rPr>
            <w:rStyle w:val="Hyperlink"/>
          </w:rPr>
          <w:t xml:space="preserve">Risk-Databricks Operating Model</w:t>
        </w:r>
      </w:hyperlink>
      <w:r>
        <w:t xml:space="preserve"> </w:t>
      </w:r>
      <w:r>
        <w:rPr>
          <w:iCs/>
          <w:i/>
        </w:rPr>
        <w:t xml:space="preserve">(sibling page)</w:t>
      </w:r>
    </w:p>
    <w:bookmarkEnd w:id="29"/>
    <w:bookmarkStart w:id="30" w:name="contribution-model"/>
    <w:p>
      <w:pPr>
        <w:pStyle w:val="Heading3"/>
      </w:pPr>
      <w:r>
        <w:t xml:space="preserve">Contribution model</w:t>
      </w:r>
    </w:p>
    <w:p>
      <w:pPr>
        <w:pStyle w:val="FirstParagraph"/>
      </w:pPr>
      <w:r>
        <w:t xml:space="preserve">Public-readable, DD-write. Proposed changes from any team — please comment on the relevant page or message the DD directly. See</w:t>
      </w:r>
      <w:r>
        <w:t xml:space="preserve"> </w:t>
      </w:r>
      <w:r>
        <w:rPr>
          <w:iCs/>
          <w:i/>
        </w:rPr>
        <w:t xml:space="preserve">Governance &amp; Cadence</w:t>
      </w:r>
      <w:r>
        <w:t xml:space="preserve"> </w:t>
      </w:r>
      <w:r>
        <w:t xml:space="preserve">for how change management works.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age-1.-operating-model"/>
    <w:p>
      <w:pPr>
        <w:pStyle w:val="Heading2"/>
      </w:pPr>
      <w:r>
        <w:t xml:space="preserve">PAGE: 1. Operating Model</w:t>
      </w:r>
    </w:p>
    <w:p>
      <w:pPr>
        <w:pStyle w:val="FirstParagraph"/>
      </w:pPr>
      <w:r>
        <w:rPr>
          <w:iCs/>
          <w:i/>
        </w:rPr>
        <w:t xml:space="preserve">Risk Architecture › Risk Data — Operating Model &amp; Standards › 1. Operating Model</w:t>
      </w:r>
    </w:p>
    <w:p>
      <w:pPr>
        <w:pStyle w:val="BodyText"/>
      </w:pPr>
      <w:r>
        <w:t xml:space="preserve">[/toc]</w:t>
      </w:r>
    </w:p>
    <w:p>
      <w:pPr>
        <w:pStyle w:val="BlockText"/>
      </w:pPr>
      <w:r>
        <w:rPr>
          <w:bCs/>
          <w:b/>
        </w:rPr>
        <w:t xml:space="preserve">Page purpose:</w:t>
      </w:r>
      <w:r>
        <w:t xml:space="preserve"> </w:t>
      </w:r>
      <w:r>
        <w:t xml:space="preserve">Documents who does what in Risk Data — the eight roles, how they work together, and how decisions get made.</w:t>
      </w:r>
      <w:r>
        <w:t xml:space="preserve"> </w:t>
      </w:r>
      <w:r>
        <w:rPr>
          <w:bCs/>
          <w:b/>
        </w:rPr>
        <w:t xml:space="preserve">Read this if:</w:t>
      </w:r>
      <w:r>
        <w:t xml:space="preserve"> </w:t>
      </w:r>
      <w:r>
        <w:t xml:space="preserve">you need to know who to talk to, who owns what, or how Risk Data interacts with Central, Infra, and Business.</w:t>
      </w:r>
    </w:p>
    <w:p>
      <w:r>
        <w:pict>
          <v:rect style="width:0;height:1.5pt" o:hralign="center" o:hrstd="t" o:hr="t"/>
        </w:pict>
      </w:r>
    </w:p>
    <w:bookmarkStart w:id="32" w:name="teams-roles"/>
    <w:p>
      <w:pPr>
        <w:pStyle w:val="Heading3"/>
      </w:pPr>
      <w:r>
        <w:t xml:space="preserve">Teams &amp; roles</w:t>
      </w:r>
    </w:p>
    <w:p>
      <w:pPr>
        <w:pStyle w:val="FirstParagraph"/>
      </w:pPr>
      <w:r>
        <w:t xml:space="preserve">[IMAGE: Persona Map — paste from</w:t>
      </w:r>
      <w:r>
        <w:t xml:space="preserve"> </w:t>
      </w:r>
      <w:r>
        <w:rPr>
          <w:rStyle w:val="VerbatimChar"/>
        </w:rPr>
        <w:t xml:space="preserve">dd_persona_rasci_v1.pptx</w:t>
      </w:r>
      <w:r>
        <w:t xml:space="preserve">, Slide 1]</w:t>
      </w:r>
    </w:p>
    <w:p>
      <w:pPr>
        <w:pStyle w:val="BlockText"/>
      </w:pPr>
      <w:r>
        <w:rPr>
          <w:bCs/>
          <w:b/>
        </w:rPr>
        <w:t xml:space="preserve">The BI tool layer</w:t>
      </w:r>
      <w:r>
        <w:t xml:space="preserve"> </w:t>
      </w:r>
      <w:r>
        <w:t xml:space="preserve">(MicroStrategy, Databricks Metric Views, dbt) sits on top of all this. DD defines what the metrics mean; the BI team builds the dashboards.</w:t>
      </w:r>
    </w:p>
    <w:bookmarkEnd w:id="32"/>
    <w:bookmarkStart w:id="33" w:name="risk-data-director"/>
    <w:p>
      <w:pPr>
        <w:pStyle w:val="Heading3"/>
      </w:pPr>
      <w:r>
        <w:t xml:space="preserve">Risk Data Director</w:t>
      </w:r>
    </w:p>
    <w:p>
      <w:pPr>
        <w:pStyle w:val="FirstParagraph"/>
      </w:pPr>
      <w:r>
        <w:t xml:space="preserve">[IMAGE: DD Working Relationships — paste from</w:t>
      </w:r>
      <w:r>
        <w:t xml:space="preserve"> </w:t>
      </w:r>
      <w:r>
        <w:rPr>
          <w:rStyle w:val="VerbatimChar"/>
        </w:rPr>
        <w:t xml:space="preserve">dd_relationships_v1.pptx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.jpg</w:t>
      </w:r>
      <w:r>
        <w:t xml:space="preserve">]</w:t>
      </w:r>
    </w:p>
    <w:p>
      <w:pPr>
        <w:pStyle w:val="BodyText"/>
      </w:pPr>
      <w:r>
        <w:t xml:space="preserve">DD is</w:t>
      </w:r>
      <w:r>
        <w:t xml:space="preserve"> </w:t>
      </w:r>
      <w:r>
        <w:rPr>
          <w:bCs/>
          <w:b/>
        </w:rPr>
        <w:t xml:space="preserve">one person</w:t>
      </w:r>
      <w:r>
        <w:t xml:space="preserve"> </w:t>
      </w:r>
      <w:r>
        <w:t xml:space="preserve">— an individual contributor, working through the Tech Lead and through app teams. Authors the standards in this space. Convenes business + apps + central. Maintains a project roster reviewed weekly with PG Leaders.</w:t>
      </w:r>
      <w:r>
        <w:t xml:space="preserve"> </w:t>
      </w:r>
      <w:r>
        <w:rPr>
          <w:bCs/>
          <w:b/>
        </w:rPr>
        <w:t xml:space="preserve">DD is not in a vacuum.</w:t>
      </w:r>
    </w:p>
    <w:bookmarkEnd w:id="33"/>
    <w:bookmarkStart w:id="34" w:name="making-decisions-federated-model"/>
    <w:p>
      <w:pPr>
        <w:pStyle w:val="Heading3"/>
      </w:pPr>
      <w:r>
        <w:t xml:space="preserve">Making decisions — federated model</w:t>
      </w:r>
    </w:p>
    <w:p>
      <w:pPr>
        <w:pStyle w:val="FirstParagraph"/>
      </w:pPr>
      <w:r>
        <w:t xml:space="preserve">The single most important principle in this space:</w:t>
      </w:r>
    </w:p>
    <w:p>
      <w:pPr>
        <w:pStyle w:val="BodyText"/>
      </w:pPr>
      <w:r>
        <w:rPr>
          <w:bCs/>
          <w:b/>
        </w:rPr>
        <w:t xml:space="preserve">Three areas. One owner per area.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4"/>
        <w:gridCol w:w="2101"/>
        <w:gridCol w:w="43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owns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implemented/stored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Logic, business rules, App Data Schema, Risk Generated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/ Risk 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data products, Contracts, Semantic definitions, analytics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Domain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 (PG Leader)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Conformed Dimensions / lookup tables, ERD, publish to CDM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Upstream Domain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Trades / reference data / etc.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this matters in practice:</w:t>
      </w:r>
    </w:p>
    <w:p>
      <w:pPr>
        <w:numPr>
          <w:ilvl w:val="0"/>
          <w:numId w:val="1004"/>
        </w:numPr>
        <w:pStyle w:val="Compact"/>
      </w:pPr>
      <w:r>
        <w:t xml:space="preserve">App teams have</w:t>
      </w:r>
      <w:r>
        <w:t xml:space="preserve"> </w:t>
      </w:r>
      <w:r>
        <w:rPr>
          <w:bCs/>
          <w:b/>
        </w:rPr>
        <w:t xml:space="preserve">freedom to refactor</w:t>
      </w:r>
      <w:r>
        <w:t xml:space="preserve"> </w:t>
      </w:r>
      <w:r>
        <w:t xml:space="preserve">their app data without breaking downstream — because consumers don’t connect there directly</w:t>
      </w:r>
    </w:p>
    <w:p>
      <w:pPr>
        <w:numPr>
          <w:ilvl w:val="0"/>
          <w:numId w:val="1004"/>
        </w:numPr>
        <w:pStyle w:val="Compact"/>
      </w:pPr>
      <w:r>
        <w:t xml:space="preserve">Analytics consumers all connect to</w:t>
      </w:r>
      <w:r>
        <w:t xml:space="preserve"> </w:t>
      </w:r>
      <w:r>
        <w:rPr>
          <w:bCs/>
          <w:b/>
        </w:rPr>
        <w:t xml:space="preserve">one place</w:t>
      </w:r>
      <w:r>
        <w:t xml:space="preserve"> </w:t>
      </w:r>
      <w:r>
        <w:t xml:space="preserve">(the Risk Warehouse), so they get</w:t>
      </w:r>
      <w:r>
        <w:t xml:space="preserve"> </w:t>
      </w:r>
      <w:r>
        <w:rPr>
          <w:bCs/>
          <w:b/>
        </w:rPr>
        <w:t xml:space="preserve">stable contracts</w:t>
      </w:r>
    </w:p>
    <w:p>
      <w:pPr>
        <w:numPr>
          <w:ilvl w:val="0"/>
          <w:numId w:val="1004"/>
        </w:numPr>
        <w:pStyle w:val="Compact"/>
      </w:pPr>
      <w:r>
        <w:t xml:space="preserve">CDO drives</w:t>
      </w:r>
      <w:r>
        <w:t xml:space="preserve"> </w:t>
      </w:r>
      <w:r>
        <w:rPr>
          <w:bCs/>
          <w:b/>
        </w:rPr>
        <w:t xml:space="preserve">enterprise consistency</w:t>
      </w:r>
      <w:r>
        <w:t xml:space="preserve"> </w:t>
      </w:r>
      <w:r>
        <w:t xml:space="preserve">at the entity level; Risk implements within that framework</w:t>
      </w:r>
    </w:p>
    <w:p>
      <w:pPr>
        <w:pStyle w:val="FirstParagraph"/>
      </w:pPr>
      <w:r>
        <w:rPr>
          <w:bCs/>
          <w:b/>
        </w:rPr>
        <w:t xml:space="preserve">Three principles that flow from this: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DD authors what’s analytics-specific.</w:t>
      </w:r>
      <w:r>
        <w:t xml:space="preserve"> </w:t>
      </w:r>
      <w:r>
        <w:t xml:space="preserve">Apps own their raw data. Central owns canonical models. PG Leader owns Risk-domain modelling. DD owns the analytics layer specifically.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DD and Tech Lead are peers.</w:t>
      </w:r>
      <w:r>
        <w:t xml:space="preserve"> </w:t>
      </w:r>
      <w:r>
        <w:t xml:space="preserve">DD = what the data means. Tech Lead = how it runs. Neither reports to the other; they collaborate on every product.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Discovery is celebrated; promotion is the standard.</w:t>
      </w:r>
      <w:r>
        <w:t xml:space="preserve"> </w:t>
      </w:r>
      <w:r>
        <w:t xml:space="preserve">When an app team builds a quick dashboard on app data, that’s good — it identifies real consumer needs. The standard is that</w:t>
      </w:r>
      <w:r>
        <w:t xml:space="preserve"> </w:t>
      </w:r>
      <w:r>
        <w:rPr>
          <w:bCs/>
          <w:b/>
        </w:rPr>
        <w:t xml:space="preserve">discovery dashboards graduate into governed analytics products</w:t>
      </w:r>
      <w:r>
        <w:t xml:space="preserve">, not that discovery is forbidden.</w:t>
      </w:r>
    </w:p>
    <w:bookmarkEnd w:id="34"/>
    <w:bookmarkStart w:id="35" w:name="data-product-ownership-three-tiers"/>
    <w:p>
      <w:pPr>
        <w:pStyle w:val="Heading3"/>
      </w:pPr>
      <w:r>
        <w:t xml:space="preserve">Data product ownership — three tiers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data product</w:t>
      </w:r>
      <w:r>
        <w:t xml:space="preserve">”</w:t>
      </w:r>
      <w:r>
        <w:t xml:space="preserve"> </w:t>
      </w:r>
      <w:r>
        <w:t xml:space="preserve">isn’t one thing. It’s three things at three levels, with different owners at each.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1485"/>
        <w:gridCol w:w="2640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App-level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xvala_exposure_raw</w:t>
            </w:r>
            <w:r>
              <w:t xml:space="preserve"> </w:t>
            </w:r>
            <w:r>
              <w:t xml:space="preserve">(in app schema)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Atomic primary</w:t>
            </w:r>
            <w:r>
              <w:t xml:space="preserve"> </w:t>
            </w:r>
            <w:r>
              <w:rPr>
                <w:iCs/>
                <w:i/>
              </w:rPr>
              <w:t xml:space="preserve">(conformed across apps in a PG)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fact_exposure</w:t>
            </w:r>
            <w:r>
              <w:t xml:space="preserve"> </w:t>
            </w:r>
            <w:r>
              <w:t xml:space="preserve">(CCR-wide, in</w:t>
            </w:r>
            <w:r>
              <w:t xml:space="preserve"> </w:t>
            </w:r>
            <w:r>
              <w:rPr>
                <w:rStyle w:val="VerbatimChar"/>
              </w:rPr>
              <w:t xml:space="preserve">riskwh.gold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Curated / 360</w:t>
            </w:r>
            <w:r>
              <w:t xml:space="preserve"> </w:t>
            </w:r>
            <w:r>
              <w:rPr>
                <w:iCs/>
                <w:i/>
              </w:rPr>
              <w:t xml:space="preserve">(cross-product within Risk)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cp_risk_summary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this means in practice: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app team</w:t>
      </w:r>
      <w:r>
        <w:t xml:space="preserve"> </w:t>
      </w:r>
      <w:r>
        <w:t xml:space="preserve">stays accountable for raw data their app produces (the source-of-truth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number from the app correct?</w:t>
      </w:r>
      <w:r>
        <w:rPr>
          <w:iCs/>
          <w:i/>
        </w:rP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PG Leader</w:t>
      </w:r>
      <w:r>
        <w:t xml:space="preserve"> </w:t>
      </w:r>
      <w:r>
        <w:t xml:space="preserve">stays accountable for the conformed business definition of cross-app products (the business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does this dataset correctly represent CCR exposure?</w:t>
      </w:r>
      <w:r>
        <w:rPr>
          <w:iCs/>
          <w:i/>
        </w:rP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DD</w:t>
      </w:r>
      <w:r>
        <w:t xml:space="preserve"> </w:t>
      </w:r>
      <w:r>
        <w:t xml:space="preserve">stays accountable for technical implementation: contracts, UC tags, semantic layer enforcement, physical artifacts in</w:t>
      </w:r>
      <w:r>
        <w:t xml:space="preserve"> </w:t>
      </w:r>
      <w:r>
        <w:rPr>
          <w:rStyle w:val="VerbatimChar"/>
        </w:rPr>
        <w:t xml:space="preserve">riskwh.gold</w:t>
      </w:r>
      <w:r>
        <w:t xml:space="preserve"> </w:t>
      </w:r>
      <w:r>
        <w:t xml:space="preserve">(the technical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implemented correctly and consumable safely?</w:t>
      </w:r>
      <w:r>
        <w:rPr>
          <w:iCs/>
          <w:i/>
        </w:rPr>
        <w:t xml:space="preserve">”</w:t>
      </w:r>
      <w:r>
        <w:t xml:space="preserve">)</w:t>
      </w:r>
    </w:p>
    <w:p>
      <w:pPr>
        <w:pStyle w:val="FirstParagraph"/>
      </w:pPr>
      <w:r>
        <w:t xml:space="preserve">Three accountabilities; each role speaks authoritatively to its own dimension. Friction emerges when these get conflated.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Where to next:</w:t>
      </w:r>
    </w:p>
    <w:p>
      <w:pPr>
        <w:numPr>
          <w:ilvl w:val="0"/>
          <w:numId w:val="1007"/>
        </w:numPr>
        <w:pStyle w:val="Compact"/>
      </w:pPr>
      <w:r>
        <w:t xml:space="preserve">→ For how the technical pieces fit together:</w:t>
      </w:r>
      <w:r>
        <w:t xml:space="preserve"> </w:t>
      </w:r>
      <w:r>
        <w:rPr>
          <w:bCs/>
          <w:b/>
        </w:rPr>
        <w:t xml:space="preserve">2. Architecture &amp; Design</w:t>
      </w:r>
    </w:p>
    <w:p>
      <w:pPr>
        <w:numPr>
          <w:ilvl w:val="0"/>
          <w:numId w:val="1007"/>
        </w:numPr>
        <w:pStyle w:val="Compact"/>
      </w:pPr>
      <w:r>
        <w:t xml:space="preserve">→ For the templates that operationalise this model:</w:t>
      </w:r>
      <w:r>
        <w:t xml:space="preserve"> </w:t>
      </w:r>
      <w:r>
        <w:rPr>
          <w:bCs/>
          <w:b/>
        </w:rPr>
        <w:t xml:space="preserve">3. Standards &amp; Artifacts Library</w:t>
      </w:r>
    </w:p>
    <w:p>
      <w:pPr>
        <w:numPr>
          <w:ilvl w:val="0"/>
          <w:numId w:val="1007"/>
        </w:numPr>
        <w:pStyle w:val="Compact"/>
      </w:pPr>
      <w:r>
        <w:t xml:space="preserve">← Back to</w:t>
      </w:r>
      <w:r>
        <w:t xml:space="preserve"> </w:t>
      </w:r>
      <w:r>
        <w:rPr>
          <w:bCs/>
          <w:b/>
        </w:rPr>
        <w:t xml:space="preserve">landing page</w:t>
      </w:r>
    </w:p>
    <w:p>
      <w:pPr>
        <w:pStyle w:val="FirstParagraph"/>
      </w:pPr>
      <w:r>
        <w:rPr>
          <w:bCs/>
          <w:b/>
        </w:rPr>
        <w:t xml:space="preserve">Related:</w:t>
      </w:r>
    </w:p>
    <w:p>
      <w:pPr>
        <w:numPr>
          <w:ilvl w:val="0"/>
          <w:numId w:val="1008"/>
        </w:numPr>
        <w:pStyle w:val="Compact"/>
      </w:pPr>
      <w:r>
        <w:t xml:space="preserve">Cadence and meetings →</w:t>
      </w:r>
      <w:r>
        <w:t xml:space="preserve"> </w:t>
      </w:r>
      <w:r>
        <w:rPr>
          <w:bCs/>
          <w:b/>
        </w:rPr>
        <w:t xml:space="preserve">6. Governance &amp; Cadence</w:t>
      </w:r>
    </w:p>
    <w:p>
      <w:pPr>
        <w:numPr>
          <w:ilvl w:val="0"/>
          <w:numId w:val="1008"/>
        </w:numPr>
        <w:pStyle w:val="Compact"/>
      </w:pPr>
      <w:r>
        <w:t xml:space="preserve">Glossary of terms used here (federation, conformed, etc.) →</w:t>
      </w:r>
      <w:r>
        <w:t xml:space="preserve"> </w:t>
      </w:r>
      <w:r>
        <w:rPr>
          <w:bCs/>
          <w:b/>
        </w:rPr>
        <w:t xml:space="preserve">4. Glossary &amp; Terminology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page-2.-architecture-design"/>
    <w:p>
      <w:pPr>
        <w:pStyle w:val="Heading2"/>
      </w:pPr>
      <w:r>
        <w:t xml:space="preserve">PAGE: 2. Architecture &amp; Design</w:t>
      </w:r>
    </w:p>
    <w:p>
      <w:pPr>
        <w:pStyle w:val="FirstParagraph"/>
      </w:pPr>
      <w:r>
        <w:rPr>
          <w:iCs/>
          <w:i/>
        </w:rPr>
        <w:t xml:space="preserve">Risk Architecture › Risk Data — Operating Model &amp; Standards › 2. Architecture &amp; Design</w:t>
      </w:r>
    </w:p>
    <w:p>
      <w:pPr>
        <w:pStyle w:val="BodyText"/>
      </w:pPr>
      <w:r>
        <w:t xml:space="preserve">[/toc]</w:t>
      </w:r>
    </w:p>
    <w:p>
      <w:pPr>
        <w:pStyle w:val="BlockText"/>
      </w:pPr>
      <w:r>
        <w:rPr>
          <w:bCs/>
          <w:b/>
        </w:rPr>
        <w:t xml:space="preserve">Page purpose:</w:t>
      </w:r>
      <w:r>
        <w:t xml:space="preserve"> </w:t>
      </w:r>
      <w:r>
        <w:t xml:space="preserve">Documents how Risk Data is structured — the journey data takes, the artifact types, how code and updates work, and the layered pattern for 360-style products.</w:t>
      </w:r>
      <w:r>
        <w:t xml:space="preserve"> </w:t>
      </w:r>
      <w:r>
        <w:rPr>
          <w:bCs/>
          <w:b/>
        </w:rPr>
        <w:t xml:space="preserve">Read this if:</w:t>
      </w:r>
      <w:r>
        <w:t xml:space="preserve"> </w:t>
      </w:r>
      <w:r>
        <w:t xml:space="preserve">you want to understand how Risk Data is shaped, or how your data fits into the bigger picture.</w:t>
      </w:r>
    </w:p>
    <w:p>
      <w:r>
        <w:pict>
          <v:rect style="width:0;height:1.5pt" o:hralign="center" o:hrstd="t" o:hr="t"/>
        </w:pict>
      </w:r>
    </w:p>
    <w:bookmarkStart w:id="37" w:name="Xa52aa575843db486ad8aceefe7aec9715148509"/>
    <w:p>
      <w:pPr>
        <w:pStyle w:val="Heading3"/>
      </w:pPr>
      <w:r>
        <w:t xml:space="preserve">The data journey — what your data goes through</w:t>
      </w:r>
    </w:p>
    <w:p>
      <w:pPr>
        <w:pStyle w:val="FirstParagraph"/>
      </w:pPr>
      <w:r>
        <w:t xml:space="preserve">[IMAGE: Data Journey — paste from</w:t>
      </w:r>
      <w:r>
        <w:t xml:space="preserve"> </w:t>
      </w:r>
      <w:r>
        <w:rPr>
          <w:rStyle w:val="VerbatimChar"/>
        </w:rPr>
        <w:t xml:space="preserve">risk_data_visuals_v1.pptx</w:t>
      </w:r>
      <w:r>
        <w:t xml:space="preserve">, Slide 1]</w:t>
      </w:r>
    </w:p>
    <w:p>
      <w:pPr>
        <w:pStyle w:val="BodyText"/>
      </w:pPr>
      <w:r>
        <w:t xml:space="preserve">Same data. Evolving status.</w:t>
      </w:r>
      <w:r>
        <w:t xml:space="preserve"> </w:t>
      </w:r>
      <w:r>
        <w:rPr>
          <w:bCs/>
          <w:b/>
        </w:rPr>
        <w:t xml:space="preserve">Six canonical stages</w:t>
      </w:r>
      <w:r>
        <w:t xml:space="preserve"> </w:t>
      </w:r>
      <w:r>
        <w:t xml:space="preserve">from raw landing to consumption.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Raw / Landed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Risk-generated data lands in the app schema, schema-typed at ingestion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  <w:r>
              <w:t xml:space="preserve"> </w:t>
            </w:r>
            <w:r>
              <w:rPr>
                <w:bCs/>
                <w:b/>
              </w:rPr>
              <w:t xml:space="preserve">Conformed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resolution + shared definitions across apps — same counterparty / trade / currency / time bucket means the same thing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  <w:r>
              <w:t xml:space="preserve"> </w:t>
            </w:r>
            <w:r>
              <w:rPr>
                <w:bCs/>
                <w:b/>
              </w:rPr>
              <w:t xml:space="preserve">Curated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Shaped per a domain model — aggregated, joined, modelled (star / 360 / OBT) for analytical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  <w:r>
              <w:t xml:space="preserve"> </w:t>
            </w:r>
            <w:r>
              <w:rPr>
                <w:bCs/>
                <w:b/>
              </w:rPr>
              <w:t xml:space="preserve">Data Product (Governed)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data + a contract. Contract embeds semantics: grain, aggregation rules, allowed/blocked dimensions, SLA, ownership, change policy,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  <w:r>
              <w:t xml:space="preserve"> </w:t>
            </w:r>
            <w:r>
              <w:rPr>
                <w:bCs/>
                <w:b/>
              </w:rPr>
              <w:t xml:space="preserve">Semantic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from the contract enforced at query time — wrong queries (e.g.,</w:t>
            </w:r>
            <w:r>
              <w:t xml:space="preserve"> </w:t>
            </w:r>
            <w:r>
              <w:rPr>
                <w:rStyle w:val="VerbatimChar"/>
              </w:rPr>
              <w:t xml:space="preserve">SUM(pfe)</w:t>
            </w:r>
            <w:r>
              <w:t xml:space="preserve">) get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</w:t>
            </w:r>
            <w:r>
              <w:t xml:space="preserve"> </w:t>
            </w: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 — dashboards, ad-hoc, regulatory feeds, model inputs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on terminology:</w:t>
      </w:r>
      <w:r>
        <w:t xml:space="preserve"> </w:t>
      </w:r>
      <w:r>
        <w:t xml:space="preserve">Authoritative and Certified are</w:t>
      </w:r>
      <w:r>
        <w:t xml:space="preserve"> </w:t>
      </w:r>
      <w:r>
        <w:rPr>
          <w:iCs/>
          <w:i/>
        </w:rPr>
        <w:t xml:space="preserve">attributes</w:t>
      </w:r>
      <w:r>
        <w:t xml:space="preserve"> </w:t>
      </w:r>
      <w:r>
        <w:t xml:space="preserve">a Data Product can have, not separate stages. A product is governed once it has a contract. Authoritative means formally designated as canonical for a class of decisions. Certified means validated for regulated use.</w:t>
      </w:r>
    </w:p>
    <w:p>
      <w:pPr>
        <w:pStyle w:val="FirstParagraph"/>
      </w:pPr>
      <w:r>
        <w:rPr>
          <w:bCs/>
          <w:b/>
        </w:rPr>
        <w:t xml:space="preserve">Why each stage matters:</w:t>
      </w:r>
      <w:r>
        <w:t xml:space="preserve"> </w:t>
      </w:r>
      <w:r>
        <w:t xml:space="preserve">skipping a stage produces predictable problems.</w:t>
      </w:r>
    </w:p>
    <w:p>
      <w:pPr>
        <w:numPr>
          <w:ilvl w:val="0"/>
          <w:numId w:val="1009"/>
        </w:numPr>
        <w:pStyle w:val="Compact"/>
      </w:pPr>
      <w:r>
        <w:t xml:space="preserve">Skip</w:t>
      </w:r>
      <w:r>
        <w:t xml:space="preserve"> </w:t>
      </w:r>
      <w:r>
        <w:rPr>
          <w:bCs/>
          <w:b/>
        </w:rPr>
        <w:t xml:space="preserve">Conformed</w:t>
      </w:r>
      <w:r>
        <w:t xml:space="preserve"> </w:t>
      </w:r>
      <w:r>
        <w:t xml:space="preserve">→ cross-product joins don’t work; XVALA counterparty doesn’t match CMOS counterparty.</w:t>
      </w:r>
    </w:p>
    <w:p>
      <w:pPr>
        <w:numPr>
          <w:ilvl w:val="0"/>
          <w:numId w:val="1009"/>
        </w:numPr>
        <w:pStyle w:val="Compact"/>
      </w:pPr>
      <w:r>
        <w:t xml:space="preserve">Skip</w:t>
      </w:r>
      <w:r>
        <w:t xml:space="preserve"> </w:t>
      </w:r>
      <w:r>
        <w:rPr>
          <w:bCs/>
          <w:b/>
        </w:rPr>
        <w:t xml:space="preserve">Curated</w:t>
      </w:r>
      <w:r>
        <w:t xml:space="preserve"> </w:t>
      </w:r>
      <w:r>
        <w:t xml:space="preserve">→ consumers reinvent the same shape repeatedly.</w:t>
      </w:r>
    </w:p>
    <w:p>
      <w:pPr>
        <w:numPr>
          <w:ilvl w:val="0"/>
          <w:numId w:val="1009"/>
        </w:numPr>
        <w:pStyle w:val="Compact"/>
      </w:pPr>
      <w:r>
        <w:t xml:space="preserve">Skip</w:t>
      </w:r>
      <w:r>
        <w:t xml:space="preserve"> </w:t>
      </w:r>
      <w:r>
        <w:rPr>
          <w:bCs/>
          <w:b/>
        </w:rPr>
        <w:t xml:space="preserve">Data Product (Governed)</w:t>
      </w:r>
      <w:r>
        <w:t xml:space="preserve"> </w:t>
      </w:r>
      <w:r>
        <w:t xml:space="preserve">→ no SLA, no change policy, no accountability.</w:t>
      </w:r>
    </w:p>
    <w:p>
      <w:pPr>
        <w:numPr>
          <w:ilvl w:val="0"/>
          <w:numId w:val="1009"/>
        </w:numPr>
        <w:pStyle w:val="Compact"/>
      </w:pPr>
      <w:r>
        <w:t xml:space="preserve">Skip</w:t>
      </w:r>
      <w:r>
        <w:t xml:space="preserve"> </w:t>
      </w:r>
      <w:r>
        <w:rPr>
          <w:bCs/>
          <w:b/>
        </w:rPr>
        <w:t xml:space="preserve">Semantic Layer</w:t>
      </w:r>
      <w:r>
        <w:t xml:space="preserve"> </w:t>
      </w:r>
      <w:r>
        <w:t xml:space="preserve">→ consumers write unsafe queries; numbers come out wrong.</w:t>
      </w:r>
    </w:p>
    <w:p>
      <w:pPr>
        <w:pStyle w:val="FirstParagraph"/>
      </w:pPr>
      <w:r>
        <w:t xml:space="preserve">DD’s role is to drive this progression — not just deliver one stage.</w:t>
      </w:r>
    </w:p>
    <w:bookmarkEnd w:id="37"/>
    <w:bookmarkStart w:id="38" w:name="artifact-types-in-the-analytics-layer"/>
    <w:p>
      <w:pPr>
        <w:pStyle w:val="Heading3"/>
      </w:pPr>
      <w:r>
        <w:t xml:space="preserve">Artifact types in the analytics layer</w:t>
      </w:r>
    </w:p>
    <w:p>
      <w:pPr>
        <w:pStyle w:val="FirstParagraph"/>
      </w:pPr>
      <w:r>
        <w:t xml:space="preserve">[IMAGE: Artifact Types side-by-side — paste from</w:t>
      </w:r>
      <w:r>
        <w:t xml:space="preserve"> </w:t>
      </w:r>
      <w:r>
        <w:rPr>
          <w:rStyle w:val="VerbatimChar"/>
        </w:rPr>
        <w:t xml:space="preserve">risk_data_visuals_v1.pptx</w:t>
      </w:r>
      <w:r>
        <w:t xml:space="preserve">, Slide 2]</w:t>
      </w:r>
    </w:p>
    <w:p>
      <w:pPr>
        <w:pStyle w:val="BodyText"/>
      </w:pPr>
      <w:r>
        <w:t xml:space="preserve">Four kinds of artifact you’ll encounter in</w:t>
      </w:r>
      <w:r>
        <w:t xml:space="preserve"> </w:t>
      </w:r>
      <w:r>
        <w:rPr>
          <w:rStyle w:val="VerbatimChar"/>
        </w:rPr>
        <w:t xml:space="preserve">riskwh</w:t>
      </w:r>
      <w:r>
        <w:t xml:space="preserve">. Each contributes independently to analytics: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Entity</w:t>
      </w:r>
      <w:r>
        <w:t xml:space="preserve"> </w:t>
      </w:r>
      <w:r>
        <w:t xml:space="preserve">— a real-world thing (a counterparty, a trade, an agreement). Foundation that everything else attaches to.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Product</w:t>
      </w:r>
      <w:r>
        <w:t xml:space="preserve"> </w:t>
      </w:r>
      <w:r>
        <w:t xml:space="preserve">— a curated, contracted dataset. Direct consumption — closed shape, stable contract.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Domain Model</w:t>
      </w:r>
      <w:r>
        <w:t xml:space="preserve"> </w:t>
      </w:r>
      <w:r>
        <w:t xml:space="preserve">— a blueprint of how entities relate. The structural rules data products are built 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Star Schema</w:t>
      </w:r>
      <w:r>
        <w:t xml:space="preserve"> </w:t>
      </w:r>
      <w:r>
        <w:t xml:space="preserve">— facts joined to dimensions for self-service queries. Open shape; safe only with semantic layer enforcement.</w:t>
      </w:r>
    </w:p>
    <w:p>
      <w:pPr>
        <w:pStyle w:val="FirstParagraph"/>
      </w:pPr>
      <w:r>
        <w:t xml:space="preserve">Each is independent. A data product can rest on a domain model. A star schema is one way to shape data products. Entities are the foundation under all of them.</w:t>
      </w:r>
    </w:p>
    <w:bookmarkEnd w:id="38"/>
    <w:bookmarkStart w:id="41" w:name="code-update-behaviours"/>
    <w:p>
      <w:pPr>
        <w:pStyle w:val="Heading3"/>
      </w:pPr>
      <w:r>
        <w:t xml:space="preserve">Code &amp; update behaviours</w:t>
      </w:r>
    </w:p>
    <w:p>
      <w:pPr>
        <w:pStyle w:val="FirstParagraph"/>
      </w:pPr>
      <w:r>
        <w:t xml:space="preserve">[IMAGE: Git + Update Behaviours — paste from</w:t>
      </w:r>
      <w:r>
        <w:t xml:space="preserve"> </w:t>
      </w:r>
      <w:r>
        <w:rPr>
          <w:rStyle w:val="VerbatimChar"/>
        </w:rPr>
        <w:t xml:space="preserve">risk_data_visuals_v1.pptx</w:t>
      </w:r>
      <w:r>
        <w:t xml:space="preserve">, Slide 3]</w:t>
      </w:r>
    </w:p>
    <w:bookmarkStart w:id="39" w:name="where-the-code-lives"/>
    <w:p>
      <w:pPr>
        <w:pStyle w:val="Heading4"/>
      </w:pPr>
      <w:r>
        <w:t xml:space="preserve">Where the code lives</w:t>
      </w:r>
    </w:p>
    <w:p>
      <w:pPr>
        <w:pStyle w:val="FirstParagraph"/>
      </w:pPr>
      <w:r>
        <w:rPr>
          <w:bCs/>
          <w:b/>
        </w:rPr>
        <w:t xml:space="preserve">Git ownership follows the federation model.</w:t>
      </w:r>
      <w:r>
        <w:t xml:space="preserve"> </w:t>
      </w:r>
      <w:r>
        <w:t xml:space="preserve">Two separate repos, two separate deployment paths, two separate ownership boundaries: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App-zone Git</w:t>
      </w:r>
      <w:r>
        <w:t xml:space="preserve"> </w:t>
      </w:r>
      <w:r>
        <w:t xml:space="preserve">(one repo per app) — owned by App team. Contains the app’s code, schema DDLs, app-internal dashboards. Deploys to (1) App PROD environment and (2) Databricks app schema (where raw output lands).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Risk Warehouse Git</w:t>
      </w:r>
      <w:r>
        <w:t xml:space="preserve"> </w:t>
      </w:r>
      <w:r>
        <w:t xml:space="preserve">(single repo) — owned by DD. Contains analytics product DDLs, contracts, UC tag definitions, semantic layer code, analytics dashboards. Deploys to the Databricks analytics catalog (</w:t>
      </w:r>
      <w:r>
        <w:rPr>
          <w:rStyle w:val="VerbatimChar"/>
        </w:rPr>
        <w:t xml:space="preserve">riskwh</w:t>
      </w:r>
      <w:r>
        <w:t xml:space="preserve">).</w:t>
      </w:r>
    </w:p>
    <w:p>
      <w:pPr>
        <w:pStyle w:val="FirstParagraph"/>
      </w:pPr>
      <w:r>
        <w:t xml:space="preserve">When a discovery dashboard graduates to a contracted analytics product, the queries get</w:t>
      </w:r>
      <w:r>
        <w:t xml:space="preserve"> </w:t>
      </w:r>
      <w:r>
        <w:rPr>
          <w:bCs/>
          <w:b/>
        </w:rPr>
        <w:t xml:space="preserve">re-implemented</w:t>
      </w:r>
      <w:r>
        <w:t xml:space="preserve"> </w:t>
      </w:r>
      <w:r>
        <w:t xml:space="preserve">in the Risk Warehouse repo. The original app dashboard can stay alive in the app-zone repo for app-internal use. Two artifacts now exist; consumers point at the analytics one.</w:t>
      </w:r>
    </w:p>
    <w:bookmarkEnd w:id="39"/>
    <w:bookmarkStart w:id="40" w:name="how-each-artifact-updates"/>
    <w:p>
      <w:pPr>
        <w:pStyle w:val="Heading4"/>
      </w:pPr>
      <w:r>
        <w:t xml:space="preserve">How each artifact updates</w:t>
      </w:r>
    </w:p>
    <w:p>
      <w:pPr>
        <w:pStyle w:val="FirstParagraph"/>
      </w:pPr>
      <w:r>
        <w:t xml:space="preserve">Different artifacts in the analytics catalog have different update behaviours. Consumers need to know which they’re getting: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3168"/>
        <w:gridCol w:w="29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 views</w:t>
            </w:r>
            <w:r>
              <w:t xml:space="preserve"> </w:t>
            </w:r>
            <w:r>
              <w:rPr>
                <w:iCs/>
                <w:i/>
              </w:rPr>
              <w:t xml:space="preserve">(linked to app schemas)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 over app schema tables — when app data changes, the view shows new data immediately. No copy of data; pass-through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Products</w:t>
            </w:r>
            <w:r>
              <w:t xml:space="preserve"> </w:t>
            </w:r>
            <w:r>
              <w:rPr>
                <w:iCs/>
                <w:i/>
              </w:rPr>
              <w:t xml:space="preserve">(materialised in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riskwh.gold</w:t>
            </w:r>
            <w:r>
              <w:rPr>
                <w:iCs/>
                <w:i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on a schedule per the contract (e.g., daily by 06:00). Consumers see data as of the last build. Physical copy; SLA-controlled.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 Schemas</w:t>
            </w:r>
            <w:r>
              <w:t xml:space="preserve"> </w:t>
            </w:r>
            <w:r>
              <w:rPr>
                <w:iCs/>
                <w:i/>
              </w:rPr>
              <w:t xml:space="preserve">(facts + dimensions for self-service)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two flavours together — yesterday’s snapshot (stable, materialised) plus today’s live view (current, dynamic). Consumer chooses which to use.</w:t>
            </w:r>
          </w:p>
        </w:tc>
      </w:tr>
    </w:tbl>
    <w:p>
      <w:pPr>
        <w:pStyle w:val="BodyText"/>
      </w:pPr>
      <w:r>
        <w:t xml:space="preserve">This matters because consumers might ask</w:t>
      </w:r>
      <w:r>
        <w:t xml:space="preserve"> </w:t>
      </w:r>
      <w:r>
        <w:t xml:space="preserve">“</w:t>
      </w:r>
      <w:r>
        <w:t xml:space="preserve">is this data current?</w:t>
      </w:r>
      <w:r>
        <w:t xml:space="preserve">”</w:t>
      </w:r>
      <w:r>
        <w:t xml:space="preserve"> </w:t>
      </w:r>
      <w:r>
        <w:t xml:space="preserve">— the answer depends on which artifact they’re looking at.</w:t>
      </w:r>
    </w:p>
    <w:bookmarkEnd w:id="40"/>
    <w:bookmarkEnd w:id="41"/>
    <w:bookmarkStart w:id="42" w:name="how-a-360-style-analytics-product-works"/>
    <w:p>
      <w:pPr>
        <w:pStyle w:val="Heading3"/>
      </w:pPr>
      <w:r>
        <w:t xml:space="preserve">How a 360-style analytics product works</w:t>
      </w:r>
    </w:p>
    <w:p>
      <w:pPr>
        <w:pStyle w:val="FirstParagraph"/>
      </w:pPr>
      <w:r>
        <w:t xml:space="preserve">[IMAGE: 360 Layered Architecture — paste from</w:t>
      </w:r>
      <w:r>
        <w:t xml:space="preserve"> </w:t>
      </w:r>
      <w:r>
        <w:rPr>
          <w:rStyle w:val="VerbatimChar"/>
        </w:rPr>
        <w:t xml:space="preserve">risk_data_visuals_v1.pptx</w:t>
      </w:r>
      <w:r>
        <w:t xml:space="preserve">, Slide 4]</w:t>
      </w:r>
    </w:p>
    <w:p>
      <w:pPr>
        <w:pStyle w:val="BodyText"/>
      </w:pPr>
      <w:r>
        <w:t xml:space="preserve">A 360-style product is</w:t>
      </w:r>
      <w:r>
        <w:t xml:space="preserve"> </w:t>
      </w:r>
      <w:r>
        <w:rPr>
          <w:bCs/>
          <w:b/>
        </w:rPr>
        <w:t xml:space="preserve">not one wide table.</w:t>
      </w:r>
      <w:r>
        <w:t xml:space="preserve"> </w:t>
      </w:r>
      <w:r>
        <w:t xml:space="preserve">It’s a layered architecture: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Layer 1</w:t>
      </w:r>
      <w:r>
        <w:t xml:space="preserve"> </w:t>
      </w:r>
      <w:r>
        <w:t xml:space="preserve">— Summary product at the entity grain (e.g., one row per counterparty per date). Pre-aggregated headlines. Loads instantly.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Layer 2</w:t>
      </w:r>
      <w:r>
        <w:t xml:space="preserve"> </w:t>
      </w:r>
      <w:r>
        <w:t xml:space="preserve">— Atomic drill-down products, each at its native grain (trades, exposure by netting set, sensitivities, collateral, stress, limits, CVA). Linked by the entity key, but never row-joined to each other.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Layer 3</w:t>
      </w:r>
      <w:r>
        <w:t xml:space="preserve"> </w:t>
      </w:r>
      <w:r>
        <w:t xml:space="preserve">— BI tool orchestration. Summary panel loads from Layer 1; drill-down tabs load from Layer 2 on demand, filtered by the selected entity.</w:t>
      </w:r>
    </w:p>
    <w:p>
      <w:pPr>
        <w:pStyle w:val="FirstParagraph"/>
      </w:pPr>
      <w:r>
        <w:rPr>
          <w:bCs/>
          <w:b/>
        </w:rPr>
        <w:t xml:space="preserve">Why not one wide table:</w:t>
      </w:r>
      <w:r>
        <w:t xml:space="preserve"> </w:t>
      </w:r>
      <w:r>
        <w:t xml:space="preserve">facts live at different grains. A single wide table would either Cartesian-multiply the data (wrong numbers) or lose detail. Layered architecture preserves grain end-to-end.</w:t>
      </w:r>
    </w:p>
    <w:p>
      <w:pPr>
        <w:pStyle w:val="BodyText"/>
      </w:pPr>
      <w:r>
        <w:t xml:space="preserve">This pattern applies anywhere we need a unified entity view across many measures — counterparty 360, agreement 360, portfolio 360, etc.</w:t>
      </w:r>
    </w:p>
    <w:p>
      <w:pPr>
        <w:pStyle w:val="BodyText"/>
      </w:pPr>
      <w:r>
        <w:t xml:space="preserve">For a worked walk-through, see</w:t>
      </w:r>
      <w:r>
        <w:t xml:space="preserve"> </w:t>
      </w:r>
      <w:r>
        <w:rPr>
          <w:iCs/>
          <w:i/>
        </w:rPr>
        <w:t xml:space="preserve">Worked Example — Counterparty 360 Product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Where to next:</w:t>
      </w:r>
    </w:p>
    <w:p>
      <w:pPr>
        <w:numPr>
          <w:ilvl w:val="0"/>
          <w:numId w:val="1013"/>
        </w:numPr>
        <w:pStyle w:val="Compact"/>
      </w:pPr>
      <w:r>
        <w:t xml:space="preserve">→ To start onboarding data into analytics:</w:t>
      </w:r>
      <w:r>
        <w:t xml:space="preserve"> </w:t>
      </w:r>
      <w:r>
        <w:rPr>
          <w:bCs/>
          <w:b/>
        </w:rPr>
        <w:t xml:space="preserve">3. Standards &amp; Artifacts Library</w:t>
      </w:r>
    </w:p>
    <w:p>
      <w:pPr>
        <w:numPr>
          <w:ilvl w:val="0"/>
          <w:numId w:val="1013"/>
        </w:numPr>
        <w:pStyle w:val="Compact"/>
      </w:pPr>
      <w:r>
        <w:t xml:space="preserve">→ For an end-to-end example:</w:t>
      </w:r>
      <w:r>
        <w:t xml:space="preserve"> </w:t>
      </w:r>
      <w:r>
        <w:rPr>
          <w:bCs/>
          <w:b/>
        </w:rPr>
        <w:t xml:space="preserve">5. Worked Example — Counterparty 360 Product</w:t>
      </w:r>
    </w:p>
    <w:p>
      <w:pPr>
        <w:numPr>
          <w:ilvl w:val="0"/>
          <w:numId w:val="1013"/>
        </w:numPr>
        <w:pStyle w:val="Compact"/>
      </w:pPr>
      <w:r>
        <w:t xml:space="preserve">← Back to</w:t>
      </w:r>
      <w:r>
        <w:t xml:space="preserve"> </w:t>
      </w:r>
      <w:r>
        <w:rPr>
          <w:bCs/>
          <w:b/>
        </w:rPr>
        <w:t xml:space="preserve">1. Operating Model</w:t>
      </w:r>
    </w:p>
    <w:p>
      <w:pPr>
        <w:pStyle w:val="FirstParagraph"/>
      </w:pPr>
      <w:r>
        <w:rPr>
          <w:bCs/>
          <w:b/>
        </w:rPr>
        <w:t xml:space="preserve">Related:</w:t>
      </w:r>
    </w:p>
    <w:p>
      <w:pPr>
        <w:numPr>
          <w:ilvl w:val="0"/>
          <w:numId w:val="1014"/>
        </w:numPr>
        <w:pStyle w:val="Compact"/>
      </w:pPr>
      <w:r>
        <w:t xml:space="preserve">Definitions of terms used here (data product, grain, conformed) →</w:t>
      </w:r>
      <w:r>
        <w:t xml:space="preserve"> </w:t>
      </w:r>
      <w:r>
        <w:rPr>
          <w:bCs/>
          <w:b/>
        </w:rPr>
        <w:t xml:space="preserve">4. Glossary &amp; Terminology</w:t>
      </w:r>
    </w:p>
    <w:p>
      <w:pPr>
        <w:numPr>
          <w:ilvl w:val="0"/>
          <w:numId w:val="1014"/>
        </w:numPr>
        <w:pStyle w:val="Compact"/>
      </w:pPr>
      <w:r>
        <w:t xml:space="preserve">Who owns what →</w:t>
      </w:r>
      <w:r>
        <w:t xml:space="preserve"> </w:t>
      </w:r>
      <w:r>
        <w:rPr>
          <w:bCs/>
          <w:b/>
        </w:rPr>
        <w:t xml:space="preserve">1. Operating Model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7" w:name="page-3.-standards-artifacts-library"/>
    <w:p>
      <w:pPr>
        <w:pStyle w:val="Heading2"/>
      </w:pPr>
      <w:r>
        <w:t xml:space="preserve">PAGE: 3. Standards &amp; Artifacts Library</w:t>
      </w:r>
    </w:p>
    <w:p>
      <w:pPr>
        <w:pStyle w:val="FirstParagraph"/>
      </w:pPr>
      <w:r>
        <w:rPr>
          <w:iCs/>
          <w:i/>
        </w:rPr>
        <w:t xml:space="preserve">Risk Architecture › Risk Data — Operating Model &amp; Standards › 3. Standards &amp; Artifacts Library</w:t>
      </w:r>
    </w:p>
    <w:p>
      <w:pPr>
        <w:pStyle w:val="BodyText"/>
      </w:pPr>
      <w:r>
        <w:t xml:space="preserve">[/toc]</w:t>
      </w:r>
    </w:p>
    <w:p>
      <w:pPr>
        <w:pStyle w:val="BlockText"/>
      </w:pPr>
      <w:r>
        <w:rPr>
          <w:bCs/>
          <w:b/>
        </w:rPr>
        <w:t xml:space="preserve">Page purpose:</w:t>
      </w:r>
      <w:r>
        <w:t xml:space="preserve"> </w:t>
      </w:r>
      <w:r>
        <w:t xml:space="preserve">The practical templates and standards. Forms to fill in. Standards to follow. Examples to copy.</w:t>
      </w:r>
      <w:r>
        <w:t xml:space="preserve"> </w:t>
      </w:r>
      <w:r>
        <w:rPr>
          <w:bCs/>
          <w:b/>
        </w:rPr>
        <w:t xml:space="preserve">Read this if:</w:t>
      </w:r>
      <w:r>
        <w:t xml:space="preserve"> </w:t>
      </w:r>
      <w:r>
        <w:t xml:space="preserve">you’re bringing data to the analytics layer, building a data product, applying UC tags, or designing schemas.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All templates 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[DRAFT v1 — feedback welcome]</w:t>
      </w:r>
      <w:r>
        <w:t xml:space="preserve"> </w:t>
      </w:r>
      <w:r>
        <w:t xml:space="preserve">— starter content. Refine in place once teams begin using them.</w:t>
      </w:r>
    </w:p>
    <w:bookmarkStart w:id="46" w:name="a.-data-product-onboarding-form"/>
    <w:p>
      <w:pPr>
        <w:pStyle w:val="Heading3"/>
      </w:pPr>
      <w:r>
        <w:t xml:space="preserve">A. Data Product Onboarding Form</w:t>
      </w:r>
    </w:p>
    <w:p>
      <w:pPr>
        <w:pStyle w:val="FirstParagraph"/>
      </w:pPr>
      <w:r>
        <w:rPr>
          <w:rStyle w:val="VerbatimChar"/>
        </w:rPr>
        <w:t xml:space="preserve">[DRAFT v1 — feedback welcome]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When an App team or Business team has data they want to bring into the analytics layer as a contracted data product, this is the form they fill in. DD reviews and approves; once approved, DD authors the contract and the team registers the product.</w:t>
      </w:r>
    </w:p>
    <w:bookmarkStart w:id="44" w:name="form-fields"/>
    <w:p>
      <w:pPr>
        <w:pStyle w:val="Heading4"/>
      </w:pPr>
      <w:r>
        <w:t xml:space="preserve">Form fields</w:t>
      </w:r>
    </w:p>
    <w:p>
      <w:pPr>
        <w:pStyle w:val="FirstParagraph"/>
      </w:pPr>
      <w:r>
        <w:rPr>
          <w:bCs/>
          <w:b/>
        </w:rPr>
        <w:t xml:space="preserve">Section A — Source</w:t>
      </w:r>
    </w:p>
    <w:p>
      <w:pPr>
        <w:pStyle w:val="SourceCode"/>
      </w:pPr>
      <w:r>
        <w:rPr>
          <w:rStyle w:val="VerbatimChar"/>
        </w:rPr>
        <w:t xml:space="preserve">1. Requesting team (App / Business / PG):</w:t>
      </w:r>
      <w:r>
        <w:br/>
      </w:r>
      <w:r>
        <w:rPr>
          <w:rStyle w:val="VerbatimChar"/>
        </w:rPr>
        <w:t xml:space="preserve">2. Source system (XVALA, CMOS, business spreadsheet, etc.):</w:t>
      </w:r>
      <w:r>
        <w:br/>
      </w:r>
      <w:r>
        <w:rPr>
          <w:rStyle w:val="VerbatimChar"/>
        </w:rPr>
        <w:t xml:space="preserve">3. Source location (app schema, file path, Confluence page):</w:t>
      </w:r>
      <w:r>
        <w:br/>
      </w:r>
      <w:r>
        <w:rPr>
          <w:rStyle w:val="VerbatimChar"/>
        </w:rPr>
        <w:t xml:space="preserve">4. Source data steward (name, contact):</w:t>
      </w:r>
      <w:r>
        <w:br/>
      </w:r>
      <w:r>
        <w:rPr>
          <w:rStyle w:val="VerbatimChar"/>
        </w:rPr>
        <w:t xml:space="preserve">5. Current Git repo for source artifacts (URL):</w:t>
      </w:r>
      <w:r>
        <w:br/>
      </w:r>
      <w:r>
        <w:rPr>
          <w:rStyle w:val="VerbatimChar"/>
        </w:rPr>
        <w:t xml:space="preserve">6. Stage of source data today (1–6 — see Architecture &amp; Design):</w:t>
      </w:r>
    </w:p>
    <w:p>
      <w:pPr>
        <w:pStyle w:val="FirstParagraph"/>
      </w:pPr>
      <w:r>
        <w:rPr>
          <w:bCs/>
          <w:b/>
        </w:rPr>
        <w:t xml:space="preserve">Section B — Data description</w:t>
      </w:r>
    </w:p>
    <w:p>
      <w:pPr>
        <w:pStyle w:val="SourceCode"/>
      </w:pPr>
      <w:r>
        <w:rPr>
          <w:rStyle w:val="VerbatimChar"/>
        </w:rPr>
        <w:t xml:space="preserve">7. Data domain (Counterparty risk, Liquidity, Market risk, Funding, etc.):</w:t>
      </w:r>
      <w:r>
        <w:br/>
      </w:r>
      <w:r>
        <w:rPr>
          <w:rStyle w:val="VerbatimChar"/>
        </w:rPr>
        <w:t xml:space="preserve">8. Brief description (3–5 sentences — what does this data represent?):</w:t>
      </w:r>
      <w:r>
        <w:br/>
      </w:r>
      <w:r>
        <w:rPr>
          <w:rStyle w:val="VerbatimChar"/>
        </w:rPr>
        <w:t xml:space="preserve">9. Native grain (e.g., "trade + valuation_date"):</w:t>
      </w:r>
      <w:r>
        <w:br/>
      </w:r>
      <w:r>
        <w:rPr>
          <w:rStyle w:val="VerbatimChar"/>
        </w:rPr>
        <w:t xml:space="preserve">10. Approximate volume (rows per refresh):</w:t>
      </w:r>
      <w:r>
        <w:br/>
      </w:r>
      <w:r>
        <w:rPr>
          <w:rStyle w:val="VerbatimChar"/>
        </w:rPr>
        <w:t xml:space="preserve">11. Refresh frequency (intraday / daily / weekly / on-demand):</w:t>
      </w:r>
      <w:r>
        <w:br/>
      </w:r>
      <w:r>
        <w:rPr>
          <w:rStyle w:val="VerbatimChar"/>
        </w:rPr>
        <w:t xml:space="preserve">12. Source-of-truth claim: ☐ Yes (authoritative source)  ☐ No (derived view)</w:t>
      </w:r>
    </w:p>
    <w:p>
      <w:pPr>
        <w:pStyle w:val="FirstParagraph"/>
      </w:pPr>
      <w:r>
        <w:rPr>
          <w:bCs/>
          <w:b/>
        </w:rPr>
        <w:t xml:space="preserve">Section C — Schema &amp; metadata</w:t>
      </w:r>
    </w:p>
    <w:p>
      <w:pPr>
        <w:pStyle w:val="SourceCode"/>
      </w:pPr>
      <w:r>
        <w:rPr>
          <w:rStyle w:val="VerbatimChar"/>
        </w:rPr>
        <w:t xml:space="preserve">13. DDL attached (Y / N — please attach):</w:t>
      </w:r>
      <w:r>
        <w:br/>
      </w:r>
      <w:r>
        <w:rPr>
          <w:rStyle w:val="VerbatimChar"/>
        </w:rPr>
        <w:t xml:space="preserve">14. Primary keys / business keys identified (Y / N):</w:t>
      </w:r>
      <w:r>
        <w:br/>
      </w:r>
      <w:r>
        <w:rPr>
          <w:rStyle w:val="VerbatimChar"/>
        </w:rPr>
        <w:t xml:space="preserve">15. Foreign keys to other domains identified (Y / N — list them):</w:t>
      </w:r>
      <w:r>
        <w:br/>
      </w:r>
      <w:r>
        <w:rPr>
          <w:rStyle w:val="VerbatimChar"/>
        </w:rPr>
        <w:t xml:space="preserve">16. Column-level descriptions provided for every column (Y / N):</w:t>
      </w:r>
      <w:r>
        <w:br/>
      </w:r>
      <w:r>
        <w:rPr>
          <w:rStyle w:val="VerbatimChar"/>
        </w:rPr>
        <w:t xml:space="preserve">17. Sensitive data classification done (PII / MNPI / restricted) (Y / N):</w:t>
      </w:r>
      <w:r>
        <w:br/>
      </w:r>
      <w:r>
        <w:rPr>
          <w:rStyle w:val="VerbatimChar"/>
        </w:rPr>
        <w:t xml:space="preserve">18. Existing UC tags on the source data (Y / N — list them):</w:t>
      </w:r>
    </w:p>
    <w:p>
      <w:pPr>
        <w:pStyle w:val="FirstParagraph"/>
      </w:pPr>
      <w:r>
        <w:rPr>
          <w:bCs/>
          <w:b/>
        </w:rPr>
        <w:t xml:space="preserve">Section D — Consumer &amp; contract</w:t>
      </w:r>
    </w:p>
    <w:p>
      <w:pPr>
        <w:pStyle w:val="SourceCode"/>
      </w:pPr>
      <w:r>
        <w:rPr>
          <w:rStyle w:val="VerbatimChar"/>
        </w:rPr>
        <w:t xml:space="preserve">19. Initial consumer(s) (dashboards, regulatory feed, model input, etc.):</w:t>
      </w:r>
      <w:r>
        <w:br/>
      </w:r>
      <w:r>
        <w:rPr>
          <w:rStyle w:val="VerbatimChar"/>
        </w:rPr>
        <w:t xml:space="preserve">20. Consumer-facing grain required (e.g., "counterparty + as_of_date"):</w:t>
      </w:r>
      <w:r>
        <w:br/>
      </w:r>
      <w:r>
        <w:rPr>
          <w:rStyle w:val="VerbatimChar"/>
        </w:rPr>
        <w:t xml:space="preserve">21. Aggregation behaviour for each measure (additive / non-additive / percentile / etc.):</w:t>
      </w:r>
      <w:r>
        <w:br/>
      </w:r>
      <w:r>
        <w:rPr>
          <w:rStyle w:val="VerbatimChar"/>
        </w:rPr>
        <w:t xml:space="preserve">22. Allowed dimensions for slicing:</w:t>
      </w:r>
      <w:r>
        <w:br/>
      </w:r>
      <w:r>
        <w:rPr>
          <w:rStyle w:val="VerbatimChar"/>
        </w:rPr>
        <w:t xml:space="preserve">23. Blocked dimensions / unsafe combinations:</w:t>
      </w:r>
      <w:r>
        <w:br/>
      </w:r>
      <w:r>
        <w:rPr>
          <w:rStyle w:val="VerbatimChar"/>
        </w:rPr>
        <w:t xml:space="preserve">24. SLA required (refresh by what time?):</w:t>
      </w:r>
      <w:r>
        <w:br/>
      </w:r>
      <w:r>
        <w:rPr>
          <w:rStyle w:val="VerbatimChar"/>
        </w:rPr>
        <w:t xml:space="preserve">25. Breaking-change policy preferred (e.g., 60 days notice for breaking, 14 days for additive):</w:t>
      </w:r>
    </w:p>
    <w:p>
      <w:pPr>
        <w:pStyle w:val="FirstParagraph"/>
      </w:pPr>
      <w:r>
        <w:rPr>
          <w:bCs/>
          <w:b/>
        </w:rPr>
        <w:t xml:space="preserve">Section E — DD use only</w:t>
      </w:r>
    </w:p>
    <w:p>
      <w:pPr>
        <w:pStyle w:val="SourceCode"/>
      </w:pPr>
      <w:r>
        <w:rPr>
          <w:rStyle w:val="VerbatimChar"/>
        </w:rPr>
        <w:t xml:space="preserve">- Onboarding ID:</w:t>
      </w:r>
      <w:r>
        <w:br/>
      </w:r>
      <w:r>
        <w:rPr>
          <w:rStyle w:val="VerbatimChar"/>
        </w:rPr>
        <w:t xml:space="preserve">- DD reviewer:</w:t>
      </w:r>
      <w:r>
        <w:br/>
      </w:r>
      <w:r>
        <w:rPr>
          <w:rStyle w:val="VerbatimChar"/>
        </w:rPr>
        <w:t xml:space="preserve">- Reviewed date:</w:t>
      </w:r>
      <w:r>
        <w:br/>
      </w:r>
      <w:r>
        <w:rPr>
          <w:rStyle w:val="VerbatimChar"/>
        </w:rPr>
        <w:t xml:space="preserve">- Decision: ☐ Approve  ☐ Approve with conditions  ☐ Defer  ☐ Decline</w:t>
      </w:r>
      <w:r>
        <w:br/>
      </w:r>
      <w:r>
        <w:rPr>
          <w:rStyle w:val="VerbatimChar"/>
        </w:rPr>
        <w:t xml:space="preserve">- Conditions / notes:</w:t>
      </w:r>
      <w:r>
        <w:br/>
      </w:r>
      <w:r>
        <w:rPr>
          <w:rStyle w:val="VerbatimChar"/>
        </w:rPr>
        <w:t xml:space="preserve">- Target stage on intake:</w:t>
      </w:r>
      <w:r>
        <w:br/>
      </w:r>
      <w:r>
        <w:rPr>
          <w:rStyle w:val="VerbatimChar"/>
        </w:rPr>
        <w:t xml:space="preserve">- Target product name:</w:t>
      </w:r>
      <w:r>
        <w:br/>
      </w:r>
      <w:r>
        <w:rPr>
          <w:rStyle w:val="VerbatimChar"/>
        </w:rPr>
        <w:t xml:space="preserve">- Target Risk Warehouse repo path:</w:t>
      </w:r>
    </w:p>
    <w:bookmarkEnd w:id="44"/>
    <w:bookmarkStart w:id="45" w:name="how-to-use"/>
    <w:p>
      <w:pPr>
        <w:pStyle w:val="Heading4"/>
      </w:pPr>
      <w:r>
        <w:t xml:space="preserve">How to use</w:t>
      </w:r>
    </w:p>
    <w:p>
      <w:pPr>
        <w:numPr>
          <w:ilvl w:val="0"/>
          <w:numId w:val="1015"/>
        </w:numPr>
        <w:pStyle w:val="Compact"/>
      </w:pPr>
      <w:r>
        <w:t xml:space="preserve">Requesting team fills in Sections A–D.</w:t>
      </w:r>
    </w:p>
    <w:p>
      <w:pPr>
        <w:numPr>
          <w:ilvl w:val="0"/>
          <w:numId w:val="1015"/>
        </w:numPr>
        <w:pStyle w:val="Compact"/>
      </w:pPr>
      <w:r>
        <w:t xml:space="preserve">Submit via comment on this Confluence page or directly to DD.</w:t>
      </w:r>
    </w:p>
    <w:p>
      <w:pPr>
        <w:numPr>
          <w:ilvl w:val="0"/>
          <w:numId w:val="1015"/>
        </w:numPr>
        <w:pStyle w:val="Compact"/>
      </w:pPr>
      <w:r>
        <w:t xml:space="preserve">DD reviews within 5 working days and either approves, asks for clarification, or defers (with reason).</w:t>
      </w:r>
    </w:p>
    <w:p>
      <w:pPr>
        <w:numPr>
          <w:ilvl w:val="0"/>
          <w:numId w:val="1015"/>
        </w:numPr>
        <w:pStyle w:val="Compact"/>
      </w:pPr>
      <w:r>
        <w:t xml:space="preserve">Once approved, DD authors the Data Contract (next section); requesting team supports.</w:t>
      </w:r>
    </w:p>
    <w:p>
      <w:pPr>
        <w:numPr>
          <w:ilvl w:val="0"/>
          <w:numId w:val="1015"/>
        </w:numPr>
        <w:pStyle w:val="Compact"/>
      </w:pPr>
      <w:r>
        <w:t xml:space="preserve">Product is registered in the Data Product Catalog (see</w:t>
      </w:r>
      <w:r>
        <w:t xml:space="preserve"> </w:t>
      </w:r>
      <w:r>
        <w:rPr>
          <w:iCs/>
          <w:i/>
        </w:rPr>
        <w:t xml:space="preserve">Governance &amp; Cadence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b.-data-contract-template"/>
    <w:p>
      <w:pPr>
        <w:pStyle w:val="Heading3"/>
      </w:pPr>
      <w:r>
        <w:t xml:space="preserve">B. Data Contract Template</w:t>
      </w:r>
    </w:p>
    <w:p>
      <w:pPr>
        <w:pStyle w:val="FirstParagraph"/>
      </w:pPr>
      <w:r>
        <w:rPr>
          <w:rStyle w:val="VerbatimChar"/>
        </w:rPr>
        <w:t xml:space="preserve">[DRAFT v1 — feedback welcome]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Every analytics data product has a contract. The contract documents what the consumer can rely on. It is machine-readable (YAML, lives in the Risk Warehouse Git repo) and is the source of truth for what the data means and how it can be used.</w:t>
      </w:r>
    </w:p>
    <w:bookmarkStart w:id="47" w:name="contract-template-yaml"/>
    <w:p>
      <w:pPr>
        <w:pStyle w:val="Heading4"/>
      </w:pPr>
      <w:r>
        <w:t xml:space="preserve">Contract template (YAML)</w:t>
      </w:r>
    </w:p>
    <w:p>
      <w:pPr>
        <w:pStyle w:val="SourceCode"/>
      </w:pPr>
      <w:r>
        <w:rPr>
          <w:rStyle w:val="CommentTok"/>
        </w:rPr>
        <w:t xml:space="preserve"># Data Contract for an analytics data product</w:t>
      </w:r>
      <w:r>
        <w:br/>
      </w:r>
      <w:r>
        <w:rPr>
          <w:rStyle w:val="CommentTok"/>
        </w:rPr>
        <w:t xml:space="preserve"># Lives in: risk-warehouse/contracts/&lt;domain&gt;/&lt;product_name&gt;.yaml</w:t>
      </w:r>
      <w:r>
        <w:br/>
      </w:r>
      <w:r>
        <w:br/>
      </w:r>
      <w:r>
        <w:rPr>
          <w:rStyle w:val="FunctionTok"/>
        </w:rPr>
        <w:t xml:space="preserve">product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&lt;product_name&gt;</w:t>
      </w:r>
      <w:r>
        <w:rPr>
          <w:rStyle w:val="CommentTok"/>
        </w:rPr>
        <w:t xml:space="preserve">                 # e.g., "ccr_exposure"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&lt;human-friendly&gt;</w:t>
      </w:r>
      <w:r>
        <w:rPr>
          <w:rStyle w:val="CommentTok"/>
        </w:rPr>
        <w:t xml:space="preserve">       # e.g., "CCR Exposure Product"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&lt;domain&gt;</w:t>
      </w:r>
      <w:r>
        <w:rPr>
          <w:rStyle w:val="CommentTok"/>
        </w:rPr>
        <w:t xml:space="preserve">                     # e.g., "counterparty_risk"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&lt;atomic_primary | curated | reporting&gt;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business_owner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&lt;PG Leader name&gt;</w:t>
      </w:r>
      <w:r>
        <w:rPr>
          <w:rStyle w:val="CommentTok"/>
        </w:rPr>
        <w:t xml:space="preserve">     # business accountability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technical_owner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&lt;team&gt;</w:t>
      </w:r>
      <w:r>
        <w:rPr>
          <w:rStyle w:val="CommentTok"/>
        </w:rPr>
        <w:t xml:space="preserve">              # technical accountability (DD team)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steward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&lt;person&gt;</w:t>
      </w:r>
      <w:r>
        <w:rPr>
          <w:rStyle w:val="CommentTok"/>
        </w:rPr>
        <w:t xml:space="preserve">                    # responsible individual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contract_version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&lt;semver&gt;</w:t>
      </w:r>
      <w:r>
        <w:rPr>
          <w:rStyle w:val="CommentTok"/>
        </w:rPr>
        <w:t xml:space="preserve">           # e.g., "1.2.0"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last_changed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&lt;YYYY-MM-DD&gt;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collibra_ref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&lt;id&gt;</w:t>
      </w:r>
      <w:r>
        <w:rPr>
          <w:rStyle w:val="CommentTok"/>
        </w:rPr>
        <w:t xml:space="preserve">                   # e.g., "CCR-EXP-001"</w:t>
      </w:r>
      <w:r>
        <w:br/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&lt;3–5 sentence business description of what this product represents.&gt;</w:t>
      </w:r>
      <w:r>
        <w:br/>
      </w:r>
      <w:r>
        <w:br/>
      </w:r>
      <w:r>
        <w:rPr>
          <w:rStyle w:val="FunctionTok"/>
        </w:rPr>
        <w:t xml:space="preserve">grain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&lt;e.g., "counterparty + netting_set + time_bucket + scenario + valuation_date"&gt;</w:t>
      </w:r>
      <w:r>
        <w:br/>
      </w:r>
      <w:r>
        <w:rPr>
          <w:rStyle w:val="FunctionTok"/>
        </w:rPr>
        <w:t xml:space="preserve">  granularity_note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&lt;explain what one row means&gt;</w:t>
      </w:r>
      <w:r>
        <w:br/>
      </w:r>
      <w:r>
        <w:br/>
      </w:r>
      <w:r>
        <w:rPr>
          <w:rStyle w:val="FunctionTok"/>
        </w:rPr>
        <w:t xml:space="preserve">dimensions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counterparty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netting_set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bucket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scenario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valuation_date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blocked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</w:t>
      </w:r>
      <w:r>
        <w:rPr>
          <w:rStyle w:val="CommentTok"/>
        </w:rPr>
        <w:t xml:space="preserve">       # cannot slice exposure by product (would require allocation)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trade</w:t>
      </w:r>
      <w:r>
        <w:rPr>
          <w:rStyle w:val="CommentTok"/>
        </w:rPr>
        <w:t xml:space="preserve">         # exposure does not exist at trade level</w:t>
      </w:r>
      <w:r>
        <w:br/>
      </w:r>
      <w:r>
        <w:br/>
      </w:r>
      <w:r>
        <w:rPr>
          <w:rStyle w:val="FunctionTok"/>
        </w:rPr>
        <w:t xml:space="preserve">measures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Expected Exposure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aggregation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sum_with_rules</w:t>
      </w:r>
      <w:r>
        <w:rPr>
          <w:rStyle w:val="CommentTok"/>
        </w:rPr>
        <w:t xml:space="preserve">        # additive within a netting set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pfe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Potential Future Exposure (97.5th percentile)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aggregation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non_additive_percentile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safe_combinations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time_bucket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OK to take MAX across time buckets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unsafe_combinations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counterparty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netting_set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USD</w:t>
      </w:r>
      <w:r>
        <w:br/>
      </w:r>
      <w:r>
        <w:br/>
      </w:r>
      <w:r>
        <w:rPr>
          <w:rStyle w:val="FunctionTok"/>
        </w:rPr>
        <w:t xml:space="preserve">quality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pfe_non_negative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pfe &gt;= 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ee_le_pfe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ee &lt;= pfe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row_count_within_band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±5% vs prior business day</w:t>
      </w:r>
      <w:r>
        <w:br/>
      </w:r>
      <w:r>
        <w:br/>
      </w:r>
      <w:r>
        <w:rPr>
          <w:rStyle w:val="FunctionTok"/>
        </w:rPr>
        <w:t xml:space="preserve">sla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daily_by_06:00_EST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freshness_alert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07:00_EST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contact_on_breach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&lt;pager&gt;</w:t>
      </w:r>
      <w:r>
        <w:br/>
      </w:r>
      <w:r>
        <w:br/>
      </w:r>
      <w:r>
        <w:rPr>
          <w:rStyle w:val="FunctionTok"/>
        </w:rPr>
        <w:t xml:space="preserve">change_policy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breaking_change_notice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60_days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additive_change_notice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14_days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deprecation_notice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90_days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notification_channel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&lt;Confluence page or distribution list&gt;</w:t>
      </w:r>
      <w:r>
        <w:br/>
      </w:r>
      <w:r>
        <w:br/>
      </w:r>
      <w:r>
        <w:rPr>
          <w:rStyle w:val="FunctionTok"/>
        </w:rPr>
        <w:t xml:space="preserve">lineage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upstream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creditrisk.xvala.exposure_raw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transformation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aggregate_to_netting_set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creditrisk.cmos.collateral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transformation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join_for_net_exposure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downstream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cp_risk_summary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microstrategy.dossier.counterparty_360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risk-warehouse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products/counterparty_risk/exposure/</w:t>
      </w:r>
    </w:p>
    <w:bookmarkEnd w:id="47"/>
    <w:bookmarkStart w:id="48" w:name="workflow-for-a-new-contract"/>
    <w:p>
      <w:pPr>
        <w:pStyle w:val="Heading4"/>
      </w:pPr>
      <w:r>
        <w:t xml:space="preserve">Workflow for a new contract</w:t>
      </w:r>
    </w:p>
    <w:p>
      <w:pPr>
        <w:numPr>
          <w:ilvl w:val="0"/>
          <w:numId w:val="1016"/>
        </w:numPr>
        <w:pStyle w:val="Compact"/>
      </w:pPr>
      <w:r>
        <w:t xml:space="preserve">DD authors initial contract during onboarding (form above).</w:t>
      </w:r>
    </w:p>
    <w:p>
      <w:pPr>
        <w:numPr>
          <w:ilvl w:val="0"/>
          <w:numId w:val="1016"/>
        </w:numPr>
        <w:pStyle w:val="Compact"/>
      </w:pPr>
      <w:r>
        <w:t xml:space="preserve">App team / Business reviews and confirms grain, measures, aggregation rules.</w:t>
      </w:r>
    </w:p>
    <w:p>
      <w:pPr>
        <w:numPr>
          <w:ilvl w:val="0"/>
          <w:numId w:val="1016"/>
        </w:numPr>
        <w:pStyle w:val="Compact"/>
      </w:pPr>
      <w:r>
        <w:t xml:space="preserve">PG Leader (business owner) signs off.</w:t>
      </w:r>
    </w:p>
    <w:p>
      <w:pPr>
        <w:numPr>
          <w:ilvl w:val="0"/>
          <w:numId w:val="1016"/>
        </w:numPr>
        <w:pStyle w:val="Compact"/>
      </w:pPr>
      <w:r>
        <w:t xml:space="preserve">DD commits to Risk Warehouse repo.</w:t>
      </w:r>
    </w:p>
    <w:p>
      <w:pPr>
        <w:numPr>
          <w:ilvl w:val="0"/>
          <w:numId w:val="1016"/>
        </w:numPr>
        <w:pStyle w:val="Compact"/>
      </w:pPr>
      <w:r>
        <w:t xml:space="preserve">UC tags applied (next section).</w:t>
      </w:r>
    </w:p>
    <w:p>
      <w:pPr>
        <w:numPr>
          <w:ilvl w:val="0"/>
          <w:numId w:val="1016"/>
        </w:numPr>
        <w:pStyle w:val="Compact"/>
      </w:pPr>
      <w:r>
        <w:t xml:space="preserve">Product registered in Catalog.</w:t>
      </w:r>
    </w:p>
    <w:bookmarkEnd w:id="48"/>
    <w:bookmarkStart w:id="49" w:name="workflow-for-a-contract-change"/>
    <w:p>
      <w:pPr>
        <w:pStyle w:val="Heading4"/>
      </w:pPr>
      <w:r>
        <w:t xml:space="preserve">Workflow for a contract change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Additive change</w:t>
      </w:r>
      <w:r>
        <w:t xml:space="preserve"> </w:t>
      </w:r>
      <w:r>
        <w:t xml:space="preserve">(new column, new tag): 14 days notice via Confluence change log.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Breaking change</w:t>
      </w:r>
      <w:r>
        <w:t xml:space="preserve"> </w:t>
      </w:r>
      <w:r>
        <w:t xml:space="preserve">(grain change, removed column, semantic redefinition): 60 days notice; consumers acknowledged via comment on the change page.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Deprecation</w:t>
      </w:r>
      <w:r>
        <w:t xml:space="preserve">: 90 days notice; replacement product identified.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429420573f7f6c31963c3fdd5bafea0cbdc0643"/>
    <w:p>
      <w:pPr>
        <w:pStyle w:val="Heading3"/>
      </w:pPr>
      <w:r>
        <w:t xml:space="preserve">C. UC Tag Standards (Raw-zone vs Analytics-zone)</w:t>
      </w:r>
    </w:p>
    <w:p>
      <w:pPr>
        <w:pStyle w:val="FirstParagraph"/>
      </w:pPr>
      <w:r>
        <w:rPr>
          <w:rStyle w:val="VerbatimChar"/>
        </w:rPr>
        <w:t xml:space="preserve">[DRAFT v1 — feedback welcome]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Unity Catalog tags carry the rules in the technical catalog. Different tags apply at different zones, and ownership splits accordingly.</w:t>
      </w:r>
    </w:p>
    <w:bookmarkStart w:id="51" w:name="principle"/>
    <w:p>
      <w:pPr>
        <w:pStyle w:val="Heading4"/>
      </w:pPr>
      <w:r>
        <w:t xml:space="preserve">Principle</w:t>
      </w:r>
    </w:p>
    <w:p>
      <w:pPr>
        <w:pStyle w:val="BlockText"/>
      </w:pPr>
      <w:r>
        <w:t xml:space="preserve">Whoever owns the data owns its tags. App teams own raw-zone tags. DD owns analytics-zone tags. DD reviews app-zone tag practices for compliance with enterprise standards (which Central sets).</w:t>
      </w:r>
    </w:p>
    <w:bookmarkEnd w:id="51"/>
    <w:bookmarkStart w:id="52" w:name="raw-zone-tags-app-team-authors"/>
    <w:p>
      <w:pPr>
        <w:pStyle w:val="Heading4"/>
      </w:pPr>
      <w:r>
        <w:t xml:space="preserve">Raw-zone tags (App team authors)</w:t>
      </w:r>
    </w:p>
    <w:p>
      <w:pPr>
        <w:pStyle w:val="FirstParagraph"/>
      </w:pPr>
      <w:r>
        <w:t xml:space="preserve">Applied to tables in app schemas (e.g.,</w:t>
      </w:r>
      <w:r>
        <w:t xml:space="preserve"> </w:t>
      </w:r>
      <w:r>
        <w:rPr>
          <w:rStyle w:val="VerbatimChar"/>
        </w:rPr>
        <w:t xml:space="preserve">creditrisk.xvala.*</w:t>
      </w:r>
      <w:r>
        <w:t xml:space="preserve">). Required tags: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4096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as raw-zone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xvala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regds</w:t>
            </w:r>
            <w:r>
              <w:t xml:space="preserve">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source_system_owner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restricted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mnpi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pii_present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refresh_frequency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intraday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landing_pattern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data lands</w:t>
            </w:r>
          </w:p>
        </w:tc>
      </w:tr>
    </w:tbl>
    <w:bookmarkEnd w:id="52"/>
    <w:bookmarkStart w:id="53" w:name="analytics-zone-tags-dd-authors"/>
    <w:p>
      <w:pPr>
        <w:pStyle w:val="Heading4"/>
      </w:pPr>
      <w:r>
        <w:t xml:space="preserve">Analytics-zone tags (DD authors)</w:t>
      </w:r>
    </w:p>
    <w:p>
      <w:pPr>
        <w:pStyle w:val="FirstParagraph"/>
      </w:pPr>
      <w:r>
        <w:t xml:space="preserve">Applied to tables in</w:t>
      </w:r>
      <w:r>
        <w:t xml:space="preserve"> </w:t>
      </w:r>
      <w:r>
        <w:rPr>
          <w:rStyle w:val="VerbatimChar"/>
        </w:rPr>
        <w:t xml:space="preserve">riskwh.gold.*</w:t>
      </w:r>
      <w:r>
        <w:t xml:space="preserve"> </w:t>
      </w:r>
      <w:r>
        <w:t xml:space="preserve">(the Risk Warehouse). Required tags: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4096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as analytics-zone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Recognises as a contracted data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from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atomic_primary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per Glossary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contract 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Leader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team / Risk Warehouse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key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cp+netting_set+bucket+scn+date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allowed_dims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 safe to slice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blocked_dims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 that are unsafe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aggregation_&lt;measure&gt;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per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aggregation_pfe = non_additive_percentile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daily_by_06:00_EST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breaking_60d_additive_14d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collibra_ref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Collibra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4_governed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5_semantic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6_analytics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from Architecture &amp; Design</w:t>
            </w:r>
          </w:p>
        </w:tc>
      </w:tr>
    </w:tbl>
    <w:bookmarkEnd w:id="53"/>
    <w:bookmarkStart w:id="54" w:name="worked-example-exposure-product"/>
    <w:p>
      <w:pPr>
        <w:pStyle w:val="Heading4"/>
      </w:pPr>
      <w:r>
        <w:t xml:space="preserve">Worked example — Exposure product</w:t>
      </w:r>
    </w:p>
    <w:p>
      <w:pPr>
        <w:pStyle w:val="SourceCode"/>
      </w:pPr>
      <w:r>
        <w:rPr>
          <w:rStyle w:val="CommentTok"/>
        </w:rPr>
        <w:t xml:space="preserve">-- Make the table recognised as a data product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riskwh.gold.fact_exposure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TAGS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'data_zone'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'analytics'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'data_product'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'product_name'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'CCR Exposure'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'product_type'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'atomic_primary'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'contract_version'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'1.2.0'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'business_owner'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'pg_credit_risk'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'technical_owner'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'risk_data_platform'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'grain'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'cp+netting_set+bucket+scn+date'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'allowed_dims'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'cp,netting_set,bucket,scn,date'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'blocked_dims'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'product,trade'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'aggregation_pfe'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'non_additive_percentile'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'aggregation_ee'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'sum_with_rules'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'refresh_sla'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'daily_by_06:00_EST'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'change_policy'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'breaking_60d_additive_14d'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'collibra_ref'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'CCR-EXP-001'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'4_governed'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Business meaning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riskwh.gold.fact_exposure </w:t>
      </w:r>
      <w:r>
        <w:rPr>
          <w:rStyle w:val="KeywordTok"/>
        </w:rPr>
        <w:t xml:space="preserve">IS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'CCR exposure metrics at counterparty + netting set + time bucket + scenario.</w:t>
      </w:r>
      <w:r>
        <w:br/>
      </w:r>
      <w:r>
        <w:rPr>
          <w:rStyle w:val="StringTok"/>
        </w:rPr>
        <w:t xml:space="preserve">   Atomic primary product. PFE is non-additive; see contract for aggregation rules.'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Quality constraint enforced at runtime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riskwh.gold.fact_exposure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pfe_non_negative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(pfe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Ownership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riskwh.gold.fact_exposure</w:t>
      </w:r>
      <w:r>
        <w:br/>
      </w:r>
      <w:r>
        <w:rPr>
          <w:rStyle w:val="NormalTok"/>
        </w:rPr>
        <w:t xml:space="preserve">  OWNER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`risk_data_platform`;</w:t>
      </w:r>
    </w:p>
    <w:bookmarkEnd w:id="54"/>
    <w:bookmarkStart w:id="55" w:name="column-level-requirements"/>
    <w:p>
      <w:pPr>
        <w:pStyle w:val="Heading4"/>
      </w:pPr>
      <w:r>
        <w:t xml:space="preserve">Column-level requirements</w:t>
      </w:r>
    </w:p>
    <w:p>
      <w:pPr>
        <w:pStyle w:val="FirstParagraph"/>
      </w:pPr>
      <w:r>
        <w:rPr>
          <w:bCs/>
          <w:b/>
        </w:rPr>
        <w:t xml:space="preserve">Every column in an analytics product must have a column comment.</w:t>
      </w:r>
      <w:r>
        <w:t xml:space="preserve"> </w:t>
      </w:r>
      <w:r>
        <w:t xml:space="preserve">No exceptions. Where a column’s meaning is non-obvious, the comment must be specific:</w:t>
      </w:r>
    </w:p>
    <w:p>
      <w:pPr>
        <w:pStyle w:val="SourceCode"/>
      </w:pP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riskwh.gold.fact_exposure.pfe </w:t>
      </w:r>
      <w:r>
        <w:rPr>
          <w:rStyle w:val="KeywordTok"/>
        </w:rPr>
        <w:t xml:space="preserve">IS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'Potential Future Exposure (97.5th percentile, daily Monte Carlo, non-additive across counterparties)'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riskwh.gold.fact_collateral.collateral_rating </w:t>
      </w:r>
      <w:r>
        <w:rPr>
          <w:rStyle w:val="KeywordTok"/>
        </w:rPr>
        <w:t xml:space="preserve">IS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'Collateral issuer rating. Composite from S</w:t>
      </w:r>
      <w:r>
        <w:rPr>
          <w:rStyle w:val="CharTok"/>
        </w:rPr>
        <w:t xml:space="preserve">&amp;P</w:t>
      </w:r>
      <w:r>
        <w:rPr>
          <w:rStyle w:val="StringTok"/>
        </w:rPr>
        <w:t xml:space="preserve">, Moody, Fitch (highest of three). For sovereign collateral, internal sovereign override applies.'</w:t>
      </w:r>
      <w:r>
        <w:rPr>
          <w:rStyle w:val="NormalTok"/>
        </w:rPr>
        <w:t xml:space="preserve">;</w:t>
      </w:r>
    </w:p>
    <w:bookmarkEnd w:id="55"/>
    <w:bookmarkStart w:id="56" w:name="why-both-column-comments-and-tags"/>
    <w:p>
      <w:pPr>
        <w:pStyle w:val="Heading4"/>
      </w:pPr>
      <w:r>
        <w:t xml:space="preserve">Why both column comments AND tags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Column comments</w:t>
      </w:r>
      <w:r>
        <w:t xml:space="preserve"> </w:t>
      </w:r>
      <w:r>
        <w:t xml:space="preserve">are human-readable — show up in catalog UIs, query autocomplete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Tags</w:t>
      </w:r>
      <w:r>
        <w:t xml:space="preserve"> </w:t>
      </w:r>
      <w:r>
        <w:t xml:space="preserve">are machine-readable — enable governance automation, lineage, semantic layer to enforce rules</w:t>
      </w:r>
    </w:p>
    <w:p>
      <w:pPr>
        <w:numPr>
          <w:ilvl w:val="0"/>
          <w:numId w:val="1018"/>
        </w:numPr>
        <w:pStyle w:val="Compact"/>
      </w:pPr>
      <w:r>
        <w:t xml:space="preserve">Both are required.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d.-schema-catalog-design-standard"/>
    <w:p>
      <w:pPr>
        <w:pStyle w:val="Heading3"/>
      </w:pPr>
      <w:r>
        <w:t xml:space="preserve">D. Schema &amp; Catalog Design Standard</w:t>
      </w:r>
    </w:p>
    <w:p>
      <w:pPr>
        <w:pStyle w:val="FirstParagraph"/>
      </w:pPr>
      <w:r>
        <w:rPr>
          <w:rStyle w:val="VerbatimChar"/>
        </w:rPr>
        <w:t xml:space="preserve">[DRAFT v1 — feedback welcome]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How catalogs, schemas, and tables are organised in Databricks. DD authors the design; Tech Lead implements with Infra.</w:t>
      </w:r>
    </w:p>
    <w:bookmarkStart w:id="58" w:name="catalog-structure"/>
    <w:p>
      <w:pPr>
        <w:pStyle w:val="Heading4"/>
      </w:pPr>
      <w:r>
        <w:t xml:space="preserve">Catalog structure</w:t>
      </w:r>
    </w:p>
    <w:p>
      <w:pPr>
        <w:pStyle w:val="FirstParagraph"/>
      </w:pPr>
      <w:r>
        <w:t xml:space="preserve">Three top-level catalogs in the Risk space: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1320"/>
        <w:gridCol w:w="3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creditrisk</w:t>
            </w:r>
            <w:r>
              <w:t xml:space="preserve"> </w:t>
            </w:r>
            <w:r>
              <w:t xml:space="preserve">(and other PG-equivalents:</w:t>
            </w:r>
            <w:r>
              <w:t xml:space="preserve"> </w:t>
            </w:r>
            <w:r>
              <w:rPr>
                <w:rStyle w:val="VerbatimChar"/>
              </w:rPr>
              <w:t xml:space="preserve">liquidity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funding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App-zone raw data per PG. One schema per app.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app use only.</w:t>
            </w:r>
            <w:r>
              <w:t xml:space="preserve"> </w:t>
            </w:r>
            <w:r>
              <w:t xml:space="preserve">Consumers MUST NOT connect 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Analytics-zone. Curated data products, semantic layer, lookup tables, sandbox.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/ Risk Warehouse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point of consumption</w:t>
            </w:r>
            <w:r>
              <w:t xml:space="preserve"> </w:t>
            </w:r>
            <w:r>
              <w:t xml:space="preserve">for all consumers and BI 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metadata, contract registry, lineage, tags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for App Teams, PG Leaders, Central</w:t>
            </w:r>
          </w:p>
        </w:tc>
      </w:tr>
    </w:tbl>
    <w:bookmarkEnd w:id="58"/>
    <w:bookmarkStart w:id="59" w:name="schema-naming-convention-within-catalogs"/>
    <w:p>
      <w:pPr>
        <w:pStyle w:val="Heading4"/>
      </w:pPr>
      <w:r>
        <w:t xml:space="preserve">Schema naming convention within catalogs</w:t>
      </w:r>
    </w:p>
    <w:p>
      <w:pPr>
        <w:pStyle w:val="FirstParagraph"/>
      </w:pPr>
      <w:r>
        <w:rPr>
          <w:bCs/>
          <w:b/>
        </w:rPr>
        <w:t xml:space="preserve">App-zone catalogs (</w:t>
      </w:r>
      <w:r>
        <w:rPr>
          <w:rStyle w:val="VerbatimChar"/>
          <w:bCs/>
          <w:b/>
        </w:rPr>
        <w:t xml:space="preserve">creditrisk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liquidity</w:t>
      </w:r>
      <w:r>
        <w:rPr>
          <w:bCs/>
          <w:b/>
        </w:rPr>
        <w:t xml:space="preserve">, etc.):</w:t>
      </w:r>
    </w:p>
    <w:p>
      <w:pPr>
        <w:pStyle w:val="SourceCode"/>
      </w:pPr>
      <w:r>
        <w:rPr>
          <w:rStyle w:val="VerbatimChar"/>
        </w:rPr>
        <w:t xml:space="preserve">&lt;pg_catalog&gt;.&lt;app_name&gt;           — primary app schema</w:t>
      </w:r>
      <w:r>
        <w:br/>
      </w:r>
      <w:r>
        <w:rPr>
          <w:rStyle w:val="VerbatimChar"/>
        </w:rPr>
        <w:t xml:space="preserve">&lt;pg_catalog&gt;.&lt;app_name&gt;_archive   — archival</w:t>
      </w:r>
      <w:r>
        <w:br/>
      </w:r>
      <w:r>
        <w:rPr>
          <w:rStyle w:val="VerbatimChar"/>
        </w:rPr>
        <w:t xml:space="preserve">&lt;pg_catalog&gt;.&lt;app_name&gt;_quarantine — DQ-failed records</w:t>
      </w:r>
    </w:p>
    <w:p>
      <w:pPr>
        <w:pStyle w:val="FirstParagraph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creditrisk.xvala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creditrisk.cmos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liquidity.alfa</w:t>
      </w:r>
    </w:p>
    <w:p>
      <w:pPr>
        <w:pStyle w:val="BodyText"/>
      </w:pPr>
      <w:r>
        <w:rPr>
          <w:bCs/>
          <w:b/>
        </w:rPr>
        <w:t xml:space="preserve">Analytics-zone catalog (</w:t>
      </w:r>
      <w:r>
        <w:rPr>
          <w:rStyle w:val="VerbatimChar"/>
          <w:bCs/>
          <w:b/>
        </w:rPr>
        <w:t xml:space="preserve">riskwh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riskwh.silver       — conformed, enriched (views or physical)</w:t>
      </w:r>
      <w:r>
        <w:br/>
      </w:r>
      <w:r>
        <w:rPr>
          <w:rStyle w:val="VerbatimChar"/>
        </w:rPr>
        <w:t xml:space="preserve">riskwh.gold         — curated data products (physical, contracted)</w:t>
      </w:r>
      <w:r>
        <w:br/>
      </w:r>
      <w:r>
        <w:rPr>
          <w:rStyle w:val="VerbatimChar"/>
        </w:rPr>
        <w:t xml:space="preserve">riskwh.lookup       — risk-derived dimensions and lookup tables</w:t>
      </w:r>
      <w:r>
        <w:br/>
      </w:r>
      <w:r>
        <w:rPr>
          <w:rStyle w:val="VerbatimChar"/>
        </w:rPr>
        <w:t xml:space="preserve">riskwh.sandbox      — exploration; not contracted; not consumed by ops</w:t>
      </w:r>
      <w:r>
        <w:br/>
      </w:r>
      <w:r>
        <w:rPr>
          <w:rStyle w:val="VerbatimChar"/>
        </w:rPr>
        <w:t xml:space="preserve">riskwh.semantic     — semantic layer definitions (dbt / Metric Views)</w:t>
      </w:r>
    </w:p>
    <w:bookmarkEnd w:id="59"/>
    <w:bookmarkStart w:id="60" w:name="table-naming-convention"/>
    <w:p>
      <w:pPr>
        <w:pStyle w:val="Heading4"/>
      </w:pPr>
      <w:r>
        <w:t xml:space="preserve">Table naming convention</w:t>
      </w:r>
    </w:p>
    <w:p>
      <w:pPr>
        <w:pStyle w:val="FirstParagraph"/>
      </w:pPr>
      <w:r>
        <w:rPr>
          <w:bCs/>
          <w:b/>
        </w:rPr>
        <w:t xml:space="preserve">Atomic primary products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riskwh.gold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fact_&lt;entity&gt;_&lt;measure&gt;         e.g., fact_exposure, fact_collateral, fact_mtm</w:t>
      </w:r>
      <w:r>
        <w:br/>
      </w:r>
      <w:r>
        <w:rPr>
          <w:rStyle w:val="VerbatimChar"/>
        </w:rPr>
        <w:t xml:space="preserve">dim_&lt;entity&gt;                    e.g., dim_counterparty, dim_netting_set</w:t>
      </w:r>
    </w:p>
    <w:p>
      <w:pPr>
        <w:pStyle w:val="FirstParagraph"/>
      </w:pPr>
      <w:r>
        <w:rPr>
          <w:bCs/>
          <w:b/>
        </w:rPr>
        <w:t xml:space="preserve">Curated / 360 products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riskwh.gold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&lt;entity&gt;_&lt;purpose&gt;_summary      e.g., cp_risk_summary, liquidity_dashboard_summary</w:t>
      </w:r>
      <w:r>
        <w:br/>
      </w:r>
      <w:r>
        <w:rPr>
          <w:rStyle w:val="VerbatimChar"/>
        </w:rPr>
        <w:t xml:space="preserve">&lt;entity&gt;_&lt;purpose&gt;_360          for explicitly 360-style products</w:t>
      </w:r>
    </w:p>
    <w:p>
      <w:pPr>
        <w:pStyle w:val="FirstParagraph"/>
      </w:pPr>
      <w:r>
        <w:rPr>
          <w:bCs/>
          <w:b/>
        </w:rPr>
        <w:t xml:space="preserve">Reporting products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riskwh.gold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report_&lt;consumer&gt;_&lt;purpose&gt;     e.g., report_basel_sa_ccr, report_fed_ccar</w:t>
      </w:r>
    </w:p>
    <w:bookmarkEnd w:id="60"/>
    <w:bookmarkStart w:id="61" w:name="critical-principle-consumer-access"/>
    <w:p>
      <w:pPr>
        <w:pStyle w:val="Heading4"/>
      </w:pPr>
      <w:r>
        <w:t xml:space="preserve">Critical principle — Consumer access</w:t>
      </w:r>
    </w:p>
    <w:p>
      <w:pPr>
        <w:pStyle w:val="FirstParagraph"/>
      </w:pPr>
      <w:r>
        <w:rPr>
          <w:bCs/>
          <w:b/>
        </w:rPr>
        <w:t xml:space="preserve">Consumers MUST NOT connect directly to app-zone catalogs.</w:t>
      </w:r>
    </w:p>
    <w:p>
      <w:pPr>
        <w:pStyle w:val="BodyText"/>
      </w:pPr>
      <w:r>
        <w:t xml:space="preserve">Every BI tool, dashboard, MicroStrategy dossier, ad-hoc consumer query points at</w:t>
      </w:r>
      <w:r>
        <w:t xml:space="preserve"> </w:t>
      </w:r>
      <w:r>
        <w:rPr>
          <w:rStyle w:val="VerbatimChar"/>
        </w:rPr>
        <w:t xml:space="preserve">riskwh</w:t>
      </w:r>
      <w:r>
        <w:t xml:space="preserve"> </w:t>
      </w:r>
      <w:r>
        <w:t xml:space="preserve">only. Reasons:</w:t>
      </w:r>
    </w:p>
    <w:p>
      <w:pPr>
        <w:numPr>
          <w:ilvl w:val="0"/>
          <w:numId w:val="1019"/>
        </w:numPr>
        <w:pStyle w:val="Compact"/>
      </w:pPr>
      <w:r>
        <w:t xml:space="preserve">App teams need freedom to refactor their app schemas without breaking downstream</w:t>
      </w:r>
    </w:p>
    <w:p>
      <w:pPr>
        <w:numPr>
          <w:ilvl w:val="0"/>
          <w:numId w:val="1019"/>
        </w:numPr>
        <w:pStyle w:val="Compact"/>
      </w:pPr>
      <w:r>
        <w:t xml:space="preserve">Analytics zone provides contracts, SLAs, and stable semantics that app schemas don’t</w:t>
      </w:r>
    </w:p>
    <w:p>
      <w:pPr>
        <w:numPr>
          <w:ilvl w:val="0"/>
          <w:numId w:val="1019"/>
        </w:numPr>
        <w:pStyle w:val="Compact"/>
      </w:pPr>
      <w:r>
        <w:t xml:space="preserve">Single point of consumption simplifies governance, access, and lineage</w:t>
      </w:r>
    </w:p>
    <w:p>
      <w:pPr>
        <w:pStyle w:val="FirstParagraph"/>
      </w:pPr>
      <w:r>
        <w:t xml:space="preserve">When a consumer is found connecting to an app schema, the response is:</w:t>
      </w:r>
    </w:p>
    <w:p>
      <w:pPr>
        <w:numPr>
          <w:ilvl w:val="0"/>
          <w:numId w:val="1020"/>
        </w:numPr>
        <w:pStyle w:val="Compact"/>
      </w:pPr>
      <w:r>
        <w:t xml:space="preserve">Acknowledge the work they’ve done</w:t>
      </w:r>
    </w:p>
    <w:p>
      <w:pPr>
        <w:numPr>
          <w:ilvl w:val="0"/>
          <w:numId w:val="1020"/>
        </w:numPr>
        <w:pStyle w:val="Compact"/>
      </w:pPr>
      <w:r>
        <w:t xml:space="preserve">Identify what needs to be promoted into the analytics layer (use the Onboarding Form)</w:t>
      </w:r>
    </w:p>
    <w:p>
      <w:pPr>
        <w:numPr>
          <w:ilvl w:val="0"/>
          <w:numId w:val="1020"/>
        </w:numPr>
        <w:pStyle w:val="Compact"/>
      </w:pPr>
      <w:r>
        <w:t xml:space="preserve">Help re-point the consumer to the analytics product once it exists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e.-semantic-layer-definition-template"/>
    <w:p>
      <w:pPr>
        <w:pStyle w:val="Heading3"/>
      </w:pPr>
      <w:r>
        <w:t xml:space="preserve">E. Semantic Layer Definition Template</w:t>
      </w:r>
    </w:p>
    <w:p>
      <w:pPr>
        <w:pStyle w:val="FirstParagraph"/>
      </w:pPr>
      <w:r>
        <w:rPr>
          <w:rStyle w:val="VerbatimChar"/>
        </w:rPr>
        <w:t xml:space="preserve">[DRAFT v1 — feedback welcome]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Semantic layer enforces the rules from the data contract at query time. Whether implemented in dbt, Databricks Metric Views, or a BI-tool semantic model, the same definitions apply.</w:t>
      </w:r>
    </w:p>
    <w:bookmarkStart w:id="63" w:name="definition-template-dbt-style-yaml"/>
    <w:p>
      <w:pPr>
        <w:pStyle w:val="Heading4"/>
      </w:pPr>
      <w:r>
        <w:t xml:space="preserve">Definition template (dbt-style YAML)</w:t>
      </w:r>
    </w:p>
    <w:p>
      <w:pPr>
        <w:pStyle w:val="SourceCode"/>
      </w:pPr>
      <w:r>
        <w:rPr>
          <w:rStyle w:val="CommentTok"/>
        </w:rPr>
        <w:t xml:space="preserve"># Semantic definition for a measure</w:t>
      </w:r>
      <w:r>
        <w:br/>
      </w:r>
      <w:r>
        <w:rPr>
          <w:rStyle w:val="CommentTok"/>
        </w:rPr>
        <w:t xml:space="preserve"># Lives in: risk-warehouse/semantic/&lt;domain&gt;/&lt;measure&gt;.yaml</w:t>
      </w:r>
      <w:r>
        <w:br/>
      </w:r>
      <w:r>
        <w:br/>
      </w:r>
      <w:r>
        <w:rPr>
          <w:rStyle w:val="FunctionTok"/>
        </w:rPr>
        <w:t xml:space="preserve">semantic_models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ccr_exposure_metrics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Counterparty credit risk exposure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ref('fact_exposure')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contract_ref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contracts/counterparty_risk/exposure.yaml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counterparty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foreign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counterparty_id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netting_set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foreign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netting_set_id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valuation_date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time_granularity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day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dimensions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bucket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categorical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scenario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allowed_values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stress_</w:t>
      </w:r>
      <w:r>
        <w:rPr>
          <w:rStyle w:val="DecValTok"/>
        </w:rPr>
        <w:t xml:space="preserve">2008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stress_covid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regulatory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measures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agg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agg_params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required_grain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netting_set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time_bucket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scenario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pfe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agg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</w:t>
      </w:r>
      <w:r>
        <w:rPr>
          <w:rStyle w:val="CommentTok"/>
        </w:rPr>
        <w:t xml:space="preserve">                          # default: take max across whatever's left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pfe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agg_params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safe_aggregation_levels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time_bucket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scenario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unsafe_aggregation_levels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counterparty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netting_set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on_unsafe_query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error</w:t>
      </w:r>
      <w:r>
        <w:br/>
      </w:r>
      <w:r>
        <w:rPr>
          <w:rStyle w:val="FunctionTok"/>
        </w:rPr>
        <w:t xml:space="preserve">          error_message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PFE cannot be summed across counterparties or netting sets.</w:t>
      </w:r>
      <w:r>
        <w:br/>
      </w:r>
      <w:r>
        <w:rPr>
          <w:rStyle w:val="NormalTok"/>
        </w:rPr>
        <w:t xml:space="preserve">            Use cp_risk_summary for pre-baked counterparty-level PFE,</w:t>
      </w:r>
      <w:r>
        <w:br/>
      </w:r>
      <w:r>
        <w:rPr>
          <w:rStyle w:val="NormalTok"/>
        </w:rPr>
        <w:t xml:space="preserve">            or restrict your query to a single counterparty + netting set.</w:t>
      </w:r>
    </w:p>
    <w:bookmarkEnd w:id="63"/>
    <w:bookmarkStart w:id="64" w:name="X92b9092408b77d0ffd1bd468db4bfdf64f7a3ea"/>
    <w:p>
      <w:pPr>
        <w:pStyle w:val="Heading4"/>
      </w:pPr>
      <w:r>
        <w:t xml:space="preserve">Two implementation places — same definitions</w:t>
      </w:r>
    </w:p>
    <w:p>
      <w:pPr>
        <w:pStyle w:val="FirstParagraph"/>
      </w:pPr>
      <w:r>
        <w:t xml:space="preserve">The semantic layer can be implemented in two places: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 Databricks</w:t>
      </w:r>
      <w:r>
        <w:t xml:space="preserve"> </w:t>
      </w:r>
      <w:r>
        <w:t xml:space="preserve">(dbt Metric Views, or Databricks Metric Views) — central definitions enforced at SQL level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 the BI tool</w:t>
      </w:r>
      <w:r>
        <w:t xml:space="preserve"> </w:t>
      </w:r>
      <w:r>
        <w:t xml:space="preserve">(e.g., MicroStrategy level metrics) — definitions enforced at BI-tool level</w:t>
      </w:r>
    </w:p>
    <w:p>
      <w:pPr>
        <w:pStyle w:val="FirstParagraph"/>
      </w:pPr>
      <w:r>
        <w:rPr>
          <w:bCs/>
          <w:b/>
        </w:rPr>
        <w:t xml:space="preserve">Recommended pattern:</w:t>
      </w:r>
      <w:r>
        <w:t xml:space="preserve"> </w:t>
      </w:r>
      <w:r>
        <w:t xml:space="preserve">define semantics</w:t>
      </w:r>
      <w:r>
        <w:t xml:space="preserve"> </w:t>
      </w:r>
      <w:r>
        <w:rPr>
          <w:bCs/>
          <w:b/>
        </w:rPr>
        <w:t xml:space="preserve">once, centrally</w:t>
      </w:r>
      <w:r>
        <w:t xml:space="preserve">, and have the BI tool</w:t>
      </w:r>
      <w:r>
        <w:t xml:space="preserve"> </w:t>
      </w:r>
      <w:r>
        <w:rPr>
          <w:bCs/>
          <w:b/>
        </w:rPr>
        <w:t xml:space="preserve">mirror</w:t>
      </w:r>
      <w:r>
        <w:t xml:space="preserve"> </w:t>
      </w:r>
      <w:r>
        <w:t xml:space="preserve">those definitions. Otherwise you get drift — one place says PFE-non-additive, another says PFE-additive, and the same dashboard returns different numbers depending on who built it.</w:t>
      </w:r>
    </w:p>
    <w:bookmarkEnd w:id="64"/>
    <w:bookmarkStart w:id="65" w:name="worked-example-safe-vs-unsafe-queries"/>
    <w:p>
      <w:pPr>
        <w:pStyle w:val="Heading4"/>
      </w:pPr>
      <w:r>
        <w:t xml:space="preserve">Worked example — safe vs unsafe queries</w:t>
      </w:r>
    </w:p>
    <w:p>
      <w:pPr>
        <w:pStyle w:val="FirstParagraph"/>
      </w:pPr>
      <w:r>
        <w:rPr>
          <w:bCs/>
          <w:b/>
        </w:rPr>
        <w:t xml:space="preserve">Safe</w:t>
      </w:r>
      <w:r>
        <w:t xml:space="preserve"> </w:t>
      </w:r>
      <w:r>
        <w:t xml:space="preserve">— aggregate-then-combine: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exp_at_cp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counterparty,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(pfe)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pfe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fact_exposure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valuation_date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'2026-05-04'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counterparty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mtm_at_cp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counterparty,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(mtm)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mtm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fact_mtm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valuation_date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'2026-05-04'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counterparty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exp_at_cp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mtm_at_cp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(counterparty);</w:t>
      </w:r>
    </w:p>
    <w:p>
      <w:pPr>
        <w:pStyle w:val="FirstParagraph"/>
      </w:pPr>
      <w:r>
        <w:rPr>
          <w:bCs/>
          <w:b/>
        </w:rPr>
        <w:t xml:space="preserve">Unsafe</w:t>
      </w:r>
      <w:r>
        <w:t xml:space="preserve"> </w:t>
      </w:r>
      <w:r>
        <w:t xml:space="preserve">— row-joining facts at different grains:</w:t>
      </w:r>
    </w:p>
    <w:p>
      <w:pPr>
        <w:pStyle w:val="SourceCode"/>
      </w:pPr>
      <w:r>
        <w:rPr>
          <w:rStyle w:val="CommentTok"/>
        </w:rPr>
        <w:t xml:space="preserve">-- DO NOT DO THIS — Cartesian explosion + double-counting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counterparty,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(pfe),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(mtm)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fact_exposure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fact_mtm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fact_exposure.counterparty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fact_mtm.counterparty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counterparty;</w:t>
      </w:r>
    </w:p>
    <w:p>
      <w:pPr>
        <w:pStyle w:val="FirstParagraph"/>
      </w:pPr>
      <w:r>
        <w:t xml:space="preserve">The semantic layer should refuse the unsafe query before it runs.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Where to next:</w:t>
      </w:r>
    </w:p>
    <w:p>
      <w:pPr>
        <w:numPr>
          <w:ilvl w:val="0"/>
          <w:numId w:val="1022"/>
        </w:numPr>
        <w:pStyle w:val="Compact"/>
      </w:pPr>
      <w:r>
        <w:t xml:space="preserve">→ For terminology used in these templates:</w:t>
      </w:r>
      <w:r>
        <w:t xml:space="preserve"> </w:t>
      </w:r>
      <w:r>
        <w:rPr>
          <w:bCs/>
          <w:b/>
        </w:rPr>
        <w:t xml:space="preserve">4. Glossary &amp; Terminology</w:t>
      </w:r>
    </w:p>
    <w:p>
      <w:pPr>
        <w:numPr>
          <w:ilvl w:val="0"/>
          <w:numId w:val="1022"/>
        </w:numPr>
        <w:pStyle w:val="Compact"/>
      </w:pPr>
      <w:r>
        <w:t xml:space="preserve">→ For an end-to-end example using these templates:</w:t>
      </w:r>
      <w:r>
        <w:t xml:space="preserve"> </w:t>
      </w:r>
      <w:r>
        <w:rPr>
          <w:bCs/>
          <w:b/>
        </w:rPr>
        <w:t xml:space="preserve">5. Worked Example — Counterparty 360 Product</w:t>
      </w:r>
    </w:p>
    <w:p>
      <w:pPr>
        <w:numPr>
          <w:ilvl w:val="0"/>
          <w:numId w:val="1022"/>
        </w:numPr>
        <w:pStyle w:val="Compact"/>
      </w:pPr>
      <w:r>
        <w:t xml:space="preserve">← Back to</w:t>
      </w:r>
      <w:r>
        <w:t xml:space="preserve"> </w:t>
      </w:r>
      <w:r>
        <w:rPr>
          <w:bCs/>
          <w:b/>
        </w:rPr>
        <w:t xml:space="preserve">2. Architecture &amp; Design</w:t>
      </w:r>
    </w:p>
    <w:p>
      <w:pPr>
        <w:pStyle w:val="FirstParagraph"/>
      </w:pPr>
      <w:r>
        <w:rPr>
          <w:bCs/>
          <w:b/>
        </w:rPr>
        <w:t xml:space="preserve">Related:</w:t>
      </w:r>
    </w:p>
    <w:p>
      <w:pPr>
        <w:numPr>
          <w:ilvl w:val="0"/>
          <w:numId w:val="1023"/>
        </w:numPr>
        <w:pStyle w:val="Compact"/>
      </w:pPr>
      <w:r>
        <w:t xml:space="preserve">Who owns what (business vs technical) →</w:t>
      </w:r>
      <w:r>
        <w:t xml:space="preserve"> </w:t>
      </w:r>
      <w:r>
        <w:rPr>
          <w:bCs/>
          <w:b/>
        </w:rPr>
        <w:t xml:space="preserve">1. Operating Model</w:t>
      </w:r>
    </w:p>
    <w:p>
      <w:pPr>
        <w:numPr>
          <w:ilvl w:val="0"/>
          <w:numId w:val="1023"/>
        </w:numPr>
        <w:pStyle w:val="Compact"/>
      </w:pPr>
      <w:r>
        <w:t xml:space="preserve">Change management for these standards →</w:t>
      </w:r>
      <w:r>
        <w:t xml:space="preserve"> </w:t>
      </w:r>
      <w:r>
        <w:rPr>
          <w:bCs/>
          <w:b/>
        </w:rPr>
        <w:t xml:space="preserve">6. Governance &amp; Cadence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80" w:name="page-4.-glossary-terminology"/>
    <w:p>
      <w:pPr>
        <w:pStyle w:val="Heading2"/>
      </w:pPr>
      <w:r>
        <w:t xml:space="preserve">PAGE: 4. Glossary &amp; Terminology</w:t>
      </w:r>
    </w:p>
    <w:p>
      <w:pPr>
        <w:pStyle w:val="FirstParagraph"/>
      </w:pPr>
      <w:r>
        <w:rPr>
          <w:iCs/>
          <w:i/>
        </w:rPr>
        <w:t xml:space="preserve">Risk Architecture › Risk Data — Operating Model &amp; Standards › 4. Glossary &amp; Terminology</w:t>
      </w:r>
    </w:p>
    <w:p>
      <w:pPr>
        <w:pStyle w:val="BodyText"/>
      </w:pPr>
      <w:r>
        <w:t xml:space="preserve">[/toc]</w:t>
      </w:r>
    </w:p>
    <w:p>
      <w:pPr>
        <w:pStyle w:val="BlockText"/>
      </w:pPr>
      <w:r>
        <w:rPr>
          <w:bCs/>
          <w:b/>
        </w:rPr>
        <w:t xml:space="preserve">Page purpose:</w:t>
      </w:r>
      <w:r>
        <w:t xml:space="preserve"> </w:t>
      </w:r>
      <w:r>
        <w:t xml:space="preserve">Shared vocabulary so we’re not talking past each other.</w:t>
      </w:r>
      <w:r>
        <w:t xml:space="preserve"> </w:t>
      </w:r>
      <w:r>
        <w:rPr>
          <w:bCs/>
          <w:b/>
        </w:rPr>
        <w:t xml:space="preserve">Read this if:</w:t>
      </w:r>
      <w:r>
        <w:t xml:space="preserve"> </w:t>
      </w:r>
      <w:r>
        <w:t xml:space="preserve">you hear a term and want to know what it means in the context of Risk Data.</w:t>
      </w:r>
    </w:p>
    <w:p>
      <w:r>
        <w:pict>
          <v:rect style="width:0;height:1.5pt" o:hralign="center" o:hrstd="t" o:hr="t"/>
        </w:pict>
      </w:r>
    </w:p>
    <w:bookmarkStart w:id="76" w:name="core-concepts"/>
    <w:p>
      <w:pPr>
        <w:pStyle w:val="Heading3"/>
      </w:pPr>
      <w:r>
        <w:t xml:space="preserve">Core concepts</w:t>
      </w:r>
    </w:p>
    <w:bookmarkStart w:id="68" w:name="data-product"/>
    <w:p>
      <w:pPr>
        <w:pStyle w:val="Heading4"/>
      </w:pPr>
      <w:r>
        <w:t xml:space="preserve">Data product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governed, contracted dataset</w:t>
      </w:r>
      <w:r>
        <w:t xml:space="preserve"> </w:t>
      </w:r>
      <w:r>
        <w:t xml:space="preserve">designed for consumption. Has an owner, a contract, an SLA, and a change policy. Discoverable via Unity Catalog (technical) and Collibra (business). May be atomic, curated, or reporting in nature (see types below).</w:t>
      </w:r>
    </w:p>
    <w:bookmarkEnd w:id="68"/>
    <w:bookmarkStart w:id="69" w:name="star-schema-and-galaxy-schema"/>
    <w:p>
      <w:pPr>
        <w:pStyle w:val="Heading4"/>
      </w:pPr>
      <w:r>
        <w:t xml:space="preserve">Star schema (and galaxy schema)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modelling pattern</w:t>
      </w:r>
      <w:r>
        <w:t xml:space="preserve"> </w:t>
      </w:r>
      <w:r>
        <w:t xml:space="preserve">where one or more fact tables connect to shared (conformed) dimension tables. A</w:t>
      </w:r>
      <w:r>
        <w:t xml:space="preserve"> </w:t>
      </w:r>
      <w:r>
        <w:rPr>
          <w:bCs/>
          <w:b/>
        </w:rPr>
        <w:t xml:space="preserve">galaxy schema</w:t>
      </w:r>
      <w:r>
        <w:t xml:space="preserve"> </w:t>
      </w:r>
      <w:r>
        <w:t xml:space="preserve">(a.k.a. fact constellation) is the multi-fact version — multiple facts at different grains sharing dimensions. This is the right pattern when many analytics need to share counterparties, netting sets, dates, etc.</w:t>
      </w:r>
    </w:p>
    <w:bookmarkEnd w:id="69"/>
    <w:bookmarkStart w:id="70" w:name="grain"/>
    <w:p>
      <w:pPr>
        <w:pStyle w:val="Heading4"/>
      </w:pPr>
      <w:r>
        <w:t xml:space="preserve">Grain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level of detail one row represents</w:t>
      </w:r>
      <w:r>
        <w:t xml:space="preserve"> </w:t>
      </w:r>
      <w:r>
        <w:t xml:space="preserve">in a fact table. Critical to specify because the grain determines what you can and can’t aggregate. Examples: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31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+ valuation_date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trade as of a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+ netting_set + time_bucket + scenario + valuation_date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 for a netting set, in a time bucket, under a scenario, on a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fact_sensitivities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+ risk_factor + tenor + valuation_date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of one trade to one risk factor at one tenor on a date</w:t>
            </w:r>
          </w:p>
        </w:tc>
      </w:tr>
    </w:tbl>
    <w:bookmarkEnd w:id="70"/>
    <w:bookmarkStart w:id="71" w:name="three-types-of-data-products"/>
    <w:p>
      <w:pPr>
        <w:pStyle w:val="Heading4"/>
      </w:pPr>
      <w:r>
        <w:t xml:space="preserve">Three types of data products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Atomic primary</w:t>
      </w:r>
      <w:r>
        <w:t xml:space="preserve"> </w:t>
      </w:r>
      <w:r>
        <w:t xml:space="preserve">— exists at a native source grain. e.g.,</w:t>
      </w:r>
      <w:r>
        <w:t xml:space="preserve"> </w:t>
      </w:r>
      <w:r>
        <w:rPr>
          <w:rStyle w:val="VerbatimChar"/>
        </w:rPr>
        <w:t xml:space="preserve">fact_exposure</w:t>
      </w:r>
      <w:r>
        <w:t xml:space="preserve">. Source of truth for one specific kind of metric. Stable, contracted, foundational.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Curated / 360</w:t>
      </w:r>
      <w:r>
        <w:t xml:space="preserve"> </w:t>
      </w:r>
      <w:r>
        <w:t xml:space="preserve">— derived view across multiple atomic products, shaped for a consumption purpose. e.g.,</w:t>
      </w:r>
      <w:r>
        <w:t xml:space="preserve"> </w:t>
      </w:r>
      <w:r>
        <w:rPr>
          <w:rStyle w:val="VerbatimChar"/>
        </w:rPr>
        <w:t xml:space="preserve">cp_risk_summary</w:t>
      </w:r>
      <w:r>
        <w:t xml:space="preserve">. Layered on top of atomic products.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Reporting</w:t>
      </w:r>
      <w:r>
        <w:t xml:space="preserve"> </w:t>
      </w:r>
      <w:r>
        <w:t xml:space="preserve">— purpose-built for a specific report or regulator. e.g.,</w:t>
      </w:r>
      <w:r>
        <w:t xml:space="preserve"> </w:t>
      </w:r>
      <w:r>
        <w:rPr>
          <w:rStyle w:val="VerbatimChar"/>
        </w:rPr>
        <w:t xml:space="preserve">report_basel_sa_ccr</w:t>
      </w:r>
      <w:r>
        <w:t xml:space="preserve">. Often a denormalised view of curated/atomic products with reporting-specific structure.</w:t>
      </w:r>
    </w:p>
    <w:bookmarkEnd w:id="71"/>
    <w:bookmarkStart w:id="72" w:name="three-concepts-often-confused"/>
    <w:p>
      <w:pPr>
        <w:pStyle w:val="Heading4"/>
      </w:pPr>
      <w:r>
        <w:t xml:space="preserve">Three concepts often confused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227"/>
        <w:gridCol w:w="4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implies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rules, ownership, change management, quality controls.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verb. Someone is responsible. Rules apply. Changes are managed.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shaped, selected, refined for a purpose.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artifact characteristic. This dataset has been arranged for a use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Aligned to a shared definition across multiple uses or contexts.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agreement. The same entity, same keys, same hierarchies wherever this data is used.</w:t>
            </w:r>
          </w:p>
        </w:tc>
      </w:tr>
    </w:tbl>
    <w:p>
      <w:pPr>
        <w:pStyle w:val="BodyText"/>
      </w:pPr>
      <w:r>
        <w:t xml:space="preserve">You can have governed-but-not-curated, curated-but-not-conformed, or conformed-but-not-curated.</w:t>
      </w:r>
      <w:r>
        <w:t xml:space="preserve"> </w:t>
      </w:r>
      <w:r>
        <w:rPr>
          <w:bCs/>
          <w:b/>
        </w:rPr>
        <w:t xml:space="preserve">A data product fit for analytics needs all three.</w:t>
      </w:r>
    </w:p>
    <w:bookmarkEnd w:id="72"/>
    <w:bookmarkStart w:id="73" w:name="conformance-explained"/>
    <w:p>
      <w:pPr>
        <w:pStyle w:val="Heading4"/>
      </w:pPr>
      <w:r>
        <w:t xml:space="preserve">Conformance — explained</w:t>
      </w:r>
    </w:p>
    <w:p>
      <w:pPr>
        <w:pStyle w:val="FirstParagraph"/>
      </w:pPr>
      <w:r>
        <w:rPr>
          <w:bCs/>
          <w:b/>
        </w:rPr>
        <w:t xml:space="preserve">Conformance is identity resolution.</w:t>
      </w:r>
      <w:r>
        <w:t xml:space="preserve"> </w:t>
      </w:r>
      <w:r>
        <w:t xml:space="preserve">When the same real-world thing is represented differently in different applications, conformance creates one canonical representation that all the apps map to.</w:t>
      </w:r>
    </w:p>
    <w:p>
      <w:pPr>
        <w:pStyle w:val="BlockText"/>
      </w:pPr>
      <w:r>
        <w:t xml:space="preserve">XVALA records a counterparty as</w:t>
      </w:r>
      <w:r>
        <w:t xml:space="preserve"> </w:t>
      </w:r>
      <w:r>
        <w:rPr>
          <w:rStyle w:val="VerbatimChar"/>
        </w:rPr>
        <w:t xml:space="preserve">"ABC BANK NA"</w:t>
      </w:r>
      <w:r>
        <w:t xml:space="preserve">. CMOS records the same legal entity as</w:t>
      </w:r>
      <w:r>
        <w:t xml:space="preserve"> </w:t>
      </w:r>
      <w:r>
        <w:rPr>
          <w:rStyle w:val="VerbatimChar"/>
        </w:rPr>
        <w:t xml:space="preserve">"ABC Bank N.A."</w:t>
      </w:r>
      <w:r>
        <w:t xml:space="preserve">. REGDS uses internal code</w:t>
      </w:r>
      <w:r>
        <w:t xml:space="preserve"> </w:t>
      </w:r>
      <w:r>
        <w:rPr>
          <w:rStyle w:val="VerbatimChar"/>
        </w:rPr>
        <w:t xml:space="preserve">"X-1023"</w:t>
      </w:r>
      <w:r>
        <w:t xml:space="preserve">. Same real-world counterparty, three different representations.</w:t>
      </w:r>
    </w:p>
    <w:p>
      <w:pPr>
        <w:pStyle w:val="BlockText"/>
      </w:pPr>
      <w:r>
        <w:t xml:space="preserve">Conformance creates one canonical</w:t>
      </w:r>
      <w:r>
        <w:t xml:space="preserve"> </w:t>
      </w:r>
      <w:r>
        <w:rPr>
          <w:rStyle w:val="VerbatimChar"/>
        </w:rPr>
        <w:t xml:space="preserve">cp_id = 'CP000123'</w:t>
      </w:r>
      <w:r>
        <w:t xml:space="preserve"> </w:t>
      </w:r>
      <w:r>
        <w:t xml:space="preserve">and maps all three back to it. Now exposure from XVALA can be joined to collateral from CMOS to regulatory positions from REGDS — and the answer is correct.</w:t>
      </w:r>
    </w:p>
    <w:p>
      <w:pPr>
        <w:pStyle w:val="FirstParagraph"/>
      </w:pPr>
      <w:r>
        <w:t xml:space="preserve">The same applies to currencies, time buckets, trade IDs, risk factors. Without conformance, cross-app joins either don’t work or produce wrong answers silently.</w:t>
      </w:r>
    </w:p>
    <w:bookmarkEnd w:id="73"/>
    <w:bookmarkStart w:id="74" w:name="contract"/>
    <w:p>
      <w:pPr>
        <w:pStyle w:val="Heading4"/>
      </w:pPr>
      <w:r>
        <w:t xml:space="preserve">Contract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machine-readable specification</w:t>
      </w:r>
      <w:r>
        <w:t xml:space="preserve"> </w:t>
      </w:r>
      <w:r>
        <w:t xml:space="preserve">of what a data product means and how it can be used. Includes grain, allowed/blocked dimensions, aggregation rules, quality constraints, SLA, change policy, ownership. Lives as YAML in Git; expressed as UC tags + column comments in Databricks; registered as a business asset in Collibra.</w:t>
      </w:r>
    </w:p>
    <w:p>
      <w:pPr>
        <w:pStyle w:val="BodyText"/>
      </w:pPr>
      <w:r>
        <w:rPr>
          <w:bCs/>
          <w:b/>
        </w:rPr>
        <w:t xml:space="preserve">Semantics are embedded in the contract.</w:t>
      </w:r>
      <w:r>
        <w:t xml:space="preserve"> </w:t>
      </w:r>
      <w:r>
        <w:t xml:space="preserve">Specifically: the rules about how each metric can and cannot be aggregated are written into the contract. So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PFE is non-additive across counterparties</w:t>
      </w:r>
      <w:r>
        <w:rPr>
          <w:iCs/>
          <w:i/>
        </w:rPr>
        <w:t xml:space="preserve">”</w:t>
      </w:r>
      <w:r>
        <w:t xml:space="preserve"> </w:t>
      </w:r>
      <w:r>
        <w:t xml:space="preserve">is a semantic rule, declared in the contract, that lives with the data product.</w:t>
      </w:r>
    </w:p>
    <w:bookmarkEnd w:id="74"/>
    <w:bookmarkStart w:id="75" w:name="semantic-layer"/>
    <w:p>
      <w:pPr>
        <w:pStyle w:val="Heading4"/>
      </w:pPr>
      <w:r>
        <w:t xml:space="preserve">Semantic layer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definition layer that enforces the contract at query time.</w:t>
      </w:r>
      <w:r>
        <w:t xml:space="preserve"> </w:t>
      </w:r>
      <w:r>
        <w:t xml:space="preserve">Implemented in dbt Metric Views, Databricks Metric Views, or BI-tool semantic models. Refuses unsafe queries (e.g., summing PFE across netting sets). Gives consumers safe self-service.</w:t>
      </w:r>
    </w:p>
    <w:p>
      <w:pPr>
        <w:pStyle w:val="BodyText"/>
      </w:pPr>
      <w:r>
        <w:t xml:space="preserve">A star schema</w:t>
      </w:r>
      <w:r>
        <w:t xml:space="preserve"> </w:t>
      </w:r>
      <w:r>
        <w:rPr>
          <w:bCs/>
          <w:b/>
        </w:rPr>
        <w:t xml:space="preserve">does not carry semantics by itself.</w:t>
      </w:r>
      <w:r>
        <w:t xml:space="preserve"> </w:t>
      </w:r>
      <w:r>
        <w:t xml:space="preserve">For star schemas to be safe, semantic rules must be declared and implemented separately. Without that, a user can drag PFE onto a canvas, slice it by counterparty, see SUM(PFE), and get a number that looks plausible but is mathematically meaningless.</w:t>
      </w:r>
    </w:p>
    <w:bookmarkEnd w:id="75"/>
    <w:bookmarkEnd w:id="76"/>
    <w:bookmarkStart w:id="77" w:name="the-6-stages-what-each-adds"/>
    <w:p>
      <w:pPr>
        <w:pStyle w:val="Heading3"/>
      </w:pPr>
      <w:r>
        <w:t xml:space="preserve">The 6 stages — what each adds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3"/>
        <w:gridCol w:w="1760"/>
        <w:gridCol w:w="41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adds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 / Landed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lands, schema-typed at ingestion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resolution + shared definitions across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Shaped per a domain model — modelled, joined, aggregated for analytical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Product (Governed)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data + a contract. Contract embeds semantics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from the contract enforced at query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 — dashboards, ad-hoc, regulatory feeds, model inputs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Authoritative and Certified are</w:t>
      </w:r>
      <w:r>
        <w:t xml:space="preserve"> </w:t>
      </w:r>
      <w:r>
        <w:rPr>
          <w:iCs/>
          <w:i/>
        </w:rPr>
        <w:t xml:space="preserve">attributes</w:t>
      </w:r>
      <w:r>
        <w:t xml:space="preserve"> </w:t>
      </w:r>
      <w:r>
        <w:t xml:space="preserve">a Data Product (stage ④) can have, not separate stages. A new Data Product is governed on day 1. It becomes authoritative when a governance body formally designates it as canonical for a class of decisions. It becomes certified after model risk validates it for regulated use.</w:t>
      </w:r>
    </w:p>
    <w:bookmarkEnd w:id="77"/>
    <w:bookmarkStart w:id="78" w:name="common-confusions-resolved"/>
    <w:p>
      <w:pPr>
        <w:pStyle w:val="Heading3"/>
      </w:pPr>
      <w:r>
        <w:t xml:space="preserve">Common confusions resolved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352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people often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actually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did a quality pass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issues fixed (dedup, null handling, format errors). In modern lakehouse ingestion this happens at the same time as Raw landing.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cleansed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aligned to common formats (ISO codes, etc.). Often folded under</w:t>
            </w:r>
            <w:r>
              <w:t xml:space="preserve"> </w:t>
            </w:r>
            <w:r>
              <w:t xml:space="preserve">“</w:t>
            </w:r>
            <w:r>
              <w:t xml:space="preserve">cleansed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standardised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Different! Normalised = structured to eliminate redundancy (3NF, BCNF). A modelling discipline, not a values discipline.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checked the numbers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Discrepancies between sources resolved. Critical for regulatory products.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Harmonised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conformed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 of getting to conformance.</w:t>
            </w:r>
            <w:r>
              <w:t xml:space="preserve"> </w:t>
            </w:r>
            <w:r>
              <w:t xml:space="preserve">“</w:t>
            </w:r>
            <w:r>
              <w:t xml:space="preserve">Harmonisation</w:t>
            </w:r>
            <w:r>
              <w:t xml:space="preserve">”</w:t>
            </w:r>
            <w:r>
              <w:t xml:space="preserve"> </w:t>
            </w:r>
            <w:r>
              <w:t xml:space="preserve">is the verb;</w:t>
            </w:r>
            <w:r>
              <w:t xml:space="preserve"> </w:t>
            </w:r>
            <w:r>
              <w:t xml:space="preserve">“</w:t>
            </w:r>
            <w:r>
              <w:t xml:space="preserve">conformance</w:t>
            </w:r>
            <w:r>
              <w:t xml:space="preserve">”</w:t>
            </w:r>
            <w:r>
              <w:t xml:space="preserve"> </w:t>
            </w:r>
            <w:r>
              <w:t xml:space="preserve">is the result.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Enriched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added stuff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Augmented with derived attributes or external data (LEI, industry classification). Different from curated — enrichment adds attributes; curation arranges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It’s the official version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attribute earned through use. Not a stage on the journey.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trusted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formal organisational designation applied to a Data Product. Stronger than trusted.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Approved for 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passed a formal validation process (often regulatory or model-risk). Highest tier; specific to regulated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real 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Colloquial. Loosely equivalent to Authoritative.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source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in banking. Synonym.</w:t>
            </w:r>
          </w:p>
        </w:tc>
      </w:tr>
    </w:tbl>
    <w:bookmarkEnd w:id="78"/>
    <w:bookmarkStart w:id="79" w:name="status-lifecycle-attributes"/>
    <w:p>
      <w:pPr>
        <w:pStyle w:val="Heading3"/>
      </w:pPr>
      <w:r>
        <w:t xml:space="preserve">Status / lifecycle attributes</w:t>
      </w:r>
    </w:p>
    <w:p>
      <w:pPr>
        <w:pStyle w:val="FirstParagraph"/>
      </w:pPr>
      <w:r>
        <w:t xml:space="preserve">These can apply to any artifact at any stage: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Findable in the catalog with searchable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Monitored — quality, freshness, lineage instrumented in real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explicit version history — schema, content,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Lineage-tracked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and downstream relationships explicitly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across platforms via federation, without copying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Physically stored as a result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at query time as a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Physically copied to another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End-of-life signalled; consumers should migrate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Where to next:</w:t>
      </w:r>
    </w:p>
    <w:p>
      <w:pPr>
        <w:numPr>
          <w:ilvl w:val="0"/>
          <w:numId w:val="1025"/>
        </w:numPr>
        <w:pStyle w:val="Compact"/>
      </w:pPr>
      <w:r>
        <w:t xml:space="preserve">→ To apply these terms in templates:</w:t>
      </w:r>
      <w:r>
        <w:t xml:space="preserve"> </w:t>
      </w:r>
      <w:r>
        <w:rPr>
          <w:bCs/>
          <w:b/>
        </w:rPr>
        <w:t xml:space="preserve">3. Standards &amp; Artifacts Library</w:t>
      </w:r>
    </w:p>
    <w:p>
      <w:pPr>
        <w:numPr>
          <w:ilvl w:val="0"/>
          <w:numId w:val="1025"/>
        </w:numPr>
        <w:pStyle w:val="Compact"/>
      </w:pPr>
      <w:r>
        <w:t xml:space="preserve">→ To see how they fit together:</w:t>
      </w:r>
      <w:r>
        <w:t xml:space="preserve"> </w:t>
      </w:r>
      <w:r>
        <w:rPr>
          <w:bCs/>
          <w:b/>
        </w:rPr>
        <w:t xml:space="preserve">2. Architecture &amp; Design</w:t>
      </w:r>
    </w:p>
    <w:p>
      <w:pPr>
        <w:numPr>
          <w:ilvl w:val="0"/>
          <w:numId w:val="1025"/>
        </w:numPr>
        <w:pStyle w:val="Compact"/>
      </w:pPr>
      <w:r>
        <w:t xml:space="preserve">← Back to</w:t>
      </w:r>
      <w:r>
        <w:t xml:space="preserve"> </w:t>
      </w:r>
      <w:r>
        <w:rPr>
          <w:bCs/>
          <w:b/>
        </w:rPr>
        <w:t xml:space="preserve">landing page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X4066ff95b7f20f9811200705b3ae298cfa1db59"/>
    <w:p>
      <w:pPr>
        <w:pStyle w:val="Heading2"/>
      </w:pPr>
      <w:r>
        <w:t xml:space="preserve">PAGE: 5. Worked Example — Counterparty 360 Product</w:t>
      </w:r>
    </w:p>
    <w:p>
      <w:pPr>
        <w:pStyle w:val="FirstParagraph"/>
      </w:pPr>
      <w:r>
        <w:rPr>
          <w:iCs/>
          <w:i/>
        </w:rPr>
        <w:t xml:space="preserve">Risk Architecture › Risk Data — Operating Model &amp; Standards › 5. Worked Example — Counterparty 360 Product</w:t>
      </w:r>
    </w:p>
    <w:p>
      <w:pPr>
        <w:pStyle w:val="BodyText"/>
      </w:pPr>
      <w:r>
        <w:t xml:space="preserve">[/toc]</w:t>
      </w:r>
    </w:p>
    <w:p>
      <w:pPr>
        <w:pStyle w:val="BlockText"/>
      </w:pPr>
      <w:r>
        <w:rPr>
          <w:bCs/>
          <w:b/>
        </w:rPr>
        <w:t xml:space="preserve">Page purpose:</w:t>
      </w:r>
      <w:r>
        <w:t xml:space="preserve"> </w:t>
      </w:r>
      <w:r>
        <w:t xml:space="preserve">End-to-end walk-through of how a 360-style analytics product works in TDS Risk. Generic example showing the layered pattern.</w:t>
      </w:r>
      <w:r>
        <w:t xml:space="preserve"> </w:t>
      </w:r>
      <w:r>
        <w:rPr>
          <w:bCs/>
          <w:b/>
        </w:rPr>
        <w:t xml:space="preserve">Read this if:</w:t>
      </w:r>
      <w:r>
        <w:t xml:space="preserve"> </w:t>
      </w:r>
      <w:r>
        <w:t xml:space="preserve">you want to see the architecture concepts applied to a concrete product.</w:t>
      </w:r>
    </w:p>
    <w:p>
      <w:r>
        <w:pict>
          <v:rect style="width:0;height:1.5pt" o:hralign="center" o:hrstd="t" o:hr="t"/>
        </w:pict>
      </w:r>
    </w:p>
    <w:bookmarkStart w:id="81" w:name="the-consumer-ask"/>
    <w:p>
      <w:pPr>
        <w:pStyle w:val="Heading3"/>
      </w:pPr>
      <w:r>
        <w:t xml:space="preserve">The consumer ask</w:t>
      </w:r>
    </w:p>
    <w:p>
      <w:pPr>
        <w:pStyle w:val="FirstParagraph"/>
      </w:pPr>
      <w:r>
        <w:t xml:space="preserve">A consumer wants a single counterparty inquiry experience. They type the counterparty name and expect to see: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Counterparty profile</w:t>
      </w:r>
      <w:r>
        <w:t xml:space="preserve"> </w:t>
      </w:r>
      <w:r>
        <w:t xml:space="preserve">— name, LEI, industry classification, parent entity, ratings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Trade list</w:t>
      </w:r>
      <w:r>
        <w:t xml:space="preserve"> </w:t>
      </w:r>
      <w:r>
        <w:t xml:space="preserve">at trade grain — with MtM, notional, product type, underlying, trading desk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Exposure metrics</w:t>
      </w:r>
      <w:r>
        <w:t xml:space="preserve"> </w:t>
      </w:r>
      <w:r>
        <w:t xml:space="preserve">— EE, PFE, stressed PFE — with drill-down by netting set, time bucket, scenario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Sensitivities</w:t>
      </w:r>
      <w:r>
        <w:t xml:space="preserve"> </w:t>
      </w:r>
      <w:r>
        <w:t xml:space="preserve">— CS01 by trade, by risk factor, by tenor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Collateral</w:t>
      </w:r>
      <w:r>
        <w:t xml:space="preserve"> </w:t>
      </w:r>
      <w:r>
        <w:t xml:space="preserve">— IA, VM, IM (differentiated), by agreement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Stress testing</w:t>
      </w:r>
      <w:r>
        <w:t xml:space="preserve"> </w:t>
      </w:r>
      <w:r>
        <w:t xml:space="preserve">— exposure under defined stress scenarios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Limits and breach status</w:t>
      </w:r>
      <w:r>
        <w:t xml:space="preserve"> </w:t>
      </w:r>
      <w:r>
        <w:t xml:space="preserve">— comparator against PFE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CVA and CVA CS01</w:t>
      </w:r>
      <w:r>
        <w:t xml:space="preserve"> </w:t>
      </w:r>
      <w:r>
        <w:t xml:space="preserve">— at counterparty grain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Trending</w:t>
      </w:r>
      <w:r>
        <w:t xml:space="preserve"> </w:t>
      </w:r>
      <w:r>
        <w:t xml:space="preserve">— YTD, QoQ, MoM, DoD movement on headline metrics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Watchlist signals</w:t>
      </w:r>
      <w:r>
        <w:t xml:space="preserve"> </w:t>
      </w:r>
      <w:r>
        <w:t xml:space="preserve">— top exposures, breach proximity, day-over-day movers</w:t>
      </w:r>
    </w:p>
    <w:bookmarkEnd w:id="81"/>
    <w:bookmarkStart w:id="82" w:name="why-this-isnt-one-wide-table"/>
    <w:p>
      <w:pPr>
        <w:pStyle w:val="Heading3"/>
      </w:pPr>
      <w:r>
        <w:t xml:space="preserve">Why this isn’t one wide table</w:t>
      </w:r>
    </w:p>
    <w:p>
      <w:pPr>
        <w:pStyle w:val="FirstParagraph"/>
      </w:pPr>
      <w:r>
        <w:t xml:space="preserve">[IMAGE: 360 Layered Architecture — paste from</w:t>
      </w:r>
      <w:r>
        <w:t xml:space="preserve"> </w:t>
      </w:r>
      <w:r>
        <w:rPr>
          <w:rStyle w:val="VerbatimChar"/>
        </w:rPr>
        <w:t xml:space="preserve">risk_data_visuals_v1.pptx</w:t>
      </w:r>
      <w:r>
        <w:t xml:space="preserve">, Slide 4]</w:t>
      </w:r>
    </w:p>
    <w:p>
      <w:pPr>
        <w:pStyle w:val="BodyText"/>
      </w:pPr>
      <w:r>
        <w:t xml:space="preserve">The natural temptation is to build one wide table — Counterparty 360 — that has everything in it. One row per counterparty.</w:t>
      </w:r>
      <w:r>
        <w:t xml:space="preserve"> </w:t>
      </w:r>
      <w:r>
        <w:rPr>
          <w:bCs/>
          <w:b/>
        </w:rPr>
        <w:t xml:space="preserve">This doesn’t work.</w:t>
      </w:r>
    </w:p>
    <w:p>
      <w:pPr>
        <w:pStyle w:val="BodyText"/>
      </w:pPr>
      <w:r>
        <w:t xml:space="preserve">If you tried to build a single wide table, you’d have to choose one grain. Three options exist; all are bad: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92"/>
        <w:gridCol w:w="2464"/>
        <w:gridCol w:w="24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Choice of 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Trade-level</w:t>
            </w:r>
            <w:r>
              <w:t xml:space="preserve"> </w:t>
            </w:r>
            <w:r>
              <w:t xml:space="preserve">(trade + valuation_date)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row is a trade. Exposure metrics (which live at netting-set grain) get duplicated across every trade in the netting set. Collateral (which lives at agreement grain) gets duplicated across every trade in the agreement.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Summing PFE across the table multiplies it by the number of trades per netting set.</w:t>
            </w:r>
            <w:r>
              <w:t xml:space="preserve"> </w:t>
            </w:r>
            <w:r>
              <w:rPr>
                <w:bCs/>
                <w:b/>
              </w:rPr>
              <w:t xml:space="preserve">The numbers are wrong — silently and badly.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Netting-set-level</w:t>
            </w:r>
            <w:r>
              <w:t xml:space="preserve"> </w:t>
            </w:r>
            <w:r>
              <w:t xml:space="preserve">(counterparty + netting_set + valuation_date)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row is a netting set. Loses trade-level detail. Sensitivities (per trade, per risk factor) can no longer be represented.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Loses the trade and sensitivity drill-down the consumer needs.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Counterparty-level</w:t>
            </w:r>
            <w:r>
              <w:t xml:space="preserve"> </w:t>
            </w:r>
            <w:r>
              <w:t xml:space="preserve">(counterparty + valuation_date)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row is one counterparty per date. Loses netting-set, trade, sensitivity, scenario detail entirely.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as a summary — but it isn’t a 360. It’s just headlines, with no drill-down.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there is no single grain that supports the full ask.</w:t>
      </w:r>
    </w:p>
    <w:bookmarkEnd w:id="82"/>
    <w:bookmarkStart w:id="86" w:name="the-correct-architecture-three-layers"/>
    <w:p>
      <w:pPr>
        <w:pStyle w:val="Heading3"/>
      </w:pPr>
      <w:r>
        <w:t xml:space="preserve">The correct architecture — three layers</w:t>
      </w:r>
    </w:p>
    <w:bookmarkStart w:id="83" w:name="layer-1-summary-product-cp_risk_summary"/>
    <w:p>
      <w:pPr>
        <w:pStyle w:val="Heading4"/>
      </w:pPr>
      <w:r>
        <w:t xml:space="preserve">Layer 1 — Summary product (</w:t>
      </w:r>
      <w:r>
        <w:rPr>
          <w:rStyle w:val="VerbatimChar"/>
        </w:rPr>
        <w:t xml:space="preserve">cp_risk_summary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t xml:space="preserve">Grain: counterparty + valuation_date</w:t>
      </w:r>
    </w:p>
    <w:p>
      <w:pPr>
        <w:numPr>
          <w:ilvl w:val="0"/>
          <w:numId w:val="1027"/>
        </w:numPr>
        <w:pStyle w:val="Compact"/>
      </w:pPr>
      <w:r>
        <w:t xml:space="preserve">~30–50 columns, 1 row per counterparty per date</w:t>
      </w:r>
    </w:p>
    <w:p>
      <w:pPr>
        <w:numPr>
          <w:ilvl w:val="0"/>
          <w:numId w:val="1027"/>
        </w:numPr>
        <w:pStyle w:val="Compact"/>
      </w:pPr>
      <w:r>
        <w:t xml:space="preserve">Contains: counterparty profile, total notional, total MtM, IA/VM/IM totals, PFE (max across buckets), CVA, limit, breach flag, trade count, top movers</w:t>
      </w:r>
    </w:p>
    <w:p>
      <w:pPr>
        <w:numPr>
          <w:ilvl w:val="0"/>
          <w:numId w:val="1027"/>
        </w:numPr>
        <w:pStyle w:val="Compact"/>
      </w:pPr>
      <w:r>
        <w:t xml:space="preserve">This is what loads instantly when a user types a counterparty name.</w:t>
      </w:r>
    </w:p>
    <w:bookmarkEnd w:id="83"/>
    <w:bookmarkStart w:id="84" w:name="X9c3377a3a472e6c82037af50068d723118e79ca"/>
    <w:p>
      <w:pPr>
        <w:pStyle w:val="Heading4"/>
      </w:pPr>
      <w:r>
        <w:t xml:space="preserve">Layer 2 — Atomic drill-down products (each at native grain)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+ valuation_date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+ netting_set + time_bucket + scenario + valuation_date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fact_mtm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+ valuation_date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fact_sensitivities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+ risk_factor + tenor + valuation_date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+ agreement + collateral_type + as_of_date (IA, VM, IM differentiated)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netting_set + scenario + time_bucket + valuation_date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+ facility + limit_type + effective_date</w:t>
            </w:r>
          </w:p>
        </w:tc>
      </w:tr>
    </w:tbl>
    <w:p>
      <w:pPr>
        <w:pStyle w:val="BodyText"/>
      </w:pPr>
      <w:r>
        <w:t xml:space="preserve">Each is its own data product with its own contract, SLA, owner. Linked by counterparty_id (and where appropriate, valuation_date, netting_set_id, agreement_id) — but</w:t>
      </w:r>
      <w:r>
        <w:t xml:space="preserve"> </w:t>
      </w:r>
      <w:r>
        <w:rPr>
          <w:bCs/>
          <w:b/>
        </w:rPr>
        <w:t xml:space="preserve">never row-joined to each other</w:t>
      </w:r>
      <w:r>
        <w:t xml:space="preserve">; only aggregated to a common grain when needed.</w:t>
      </w:r>
    </w:p>
    <w:bookmarkEnd w:id="84"/>
    <w:bookmarkStart w:id="85" w:name="Xf50b95704492b46165b50060630a4a97d07ab5a"/>
    <w:p>
      <w:pPr>
        <w:pStyle w:val="Heading4"/>
      </w:pPr>
      <w:r>
        <w:t xml:space="preserve">Layer 3 — BI / Semantic orchestration (the user experience)</w:t>
      </w:r>
    </w:p>
    <w:p>
      <w:pPr>
        <w:pStyle w:val="FirstParagraph"/>
      </w:pPr>
      <w:r>
        <w:t xml:space="preserve">When a user opens the dossier and types a counterparty name, the BI tool:</w:t>
      </w:r>
    </w:p>
    <w:p>
      <w:pPr>
        <w:numPr>
          <w:ilvl w:val="0"/>
          <w:numId w:val="1028"/>
        </w:numPr>
        <w:pStyle w:val="Compact"/>
      </w:pPr>
      <w:r>
        <w:t xml:space="preserve">Loads</w:t>
      </w:r>
      <w:r>
        <w:t xml:space="preserve"> </w:t>
      </w:r>
      <w:r>
        <w:rPr>
          <w:rStyle w:val="VerbatimChar"/>
        </w:rPr>
        <w:t xml:space="preserve">cp_risk_summary</w:t>
      </w:r>
      <w:r>
        <w:t xml:space="preserve"> </w:t>
      </w:r>
      <w:r>
        <w:t xml:space="preserve">for that counterparty — instant, one row, populates the summary panel.</w:t>
      </w:r>
    </w:p>
    <w:p>
      <w:pPr>
        <w:numPr>
          <w:ilvl w:val="0"/>
          <w:numId w:val="1028"/>
        </w:numPr>
        <w:pStyle w:val="Compact"/>
      </w:pPr>
      <w:r>
        <w:t xml:space="preserve">Renders tabs — Trades / Exposure / Sensitivities / Collateral / Stress / Limits / CVA. Initially empty.</w:t>
      </w:r>
    </w:p>
    <w:p>
      <w:pPr>
        <w:numPr>
          <w:ilvl w:val="0"/>
          <w:numId w:val="1028"/>
        </w:numPr>
        <w:pStyle w:val="Compact"/>
      </w:pPr>
      <w:r>
        <w:t xml:space="preserve">User clicks Trades — loads</w:t>
      </w:r>
      <w:r>
        <w:t xml:space="preserve"> </w:t>
      </w:r>
      <w:r>
        <w:rPr>
          <w:rStyle w:val="VerbatimChar"/>
        </w:rPr>
        <w:t xml:space="preserve">fact_trade WHERE counterparty_id = X</w:t>
      </w:r>
      <w:r>
        <w:t xml:space="preserve"> </w:t>
      </w:r>
      <w:r>
        <w:t xml:space="preserve">(~hundreds of rows).</w:t>
      </w:r>
    </w:p>
    <w:p>
      <w:pPr>
        <w:numPr>
          <w:ilvl w:val="0"/>
          <w:numId w:val="1028"/>
        </w:numPr>
        <w:pStyle w:val="Compact"/>
      </w:pPr>
      <w:r>
        <w:t xml:space="preserve">User clicks Exposure — loads</w:t>
      </w:r>
      <w:r>
        <w:t xml:space="preserve"> </w:t>
      </w:r>
      <w:r>
        <w:rPr>
          <w:rStyle w:val="VerbatimChar"/>
        </w:rPr>
        <w:t xml:space="preserve">fact_exposure WHERE counterparty_id = X</w:t>
      </w:r>
      <w:r>
        <w:t xml:space="preserve"> </w:t>
      </w:r>
      <w:r>
        <w:t xml:space="preserve">(~hundreds of rows).</w:t>
      </w:r>
    </w:p>
    <w:p>
      <w:pPr>
        <w:numPr>
          <w:ilvl w:val="0"/>
          <w:numId w:val="1028"/>
        </w:numPr>
        <w:pStyle w:val="Compact"/>
      </w:pPr>
      <w:r>
        <w:t xml:space="preserve">User clicks Sensitivities — loads</w:t>
      </w:r>
      <w:r>
        <w:t xml:space="preserve"> </w:t>
      </w:r>
      <w:r>
        <w:rPr>
          <w:rStyle w:val="VerbatimChar"/>
        </w:rPr>
        <w:t xml:space="preserve">fact_sensitivities WHERE counterparty_id = X</w:t>
      </w:r>
      <w:r>
        <w:t xml:space="preserve">. Pre-aggregated by risk_factor + tenor in the chart; drill to trade level on demand.</w:t>
      </w:r>
    </w:p>
    <w:p>
      <w:pPr>
        <w:numPr>
          <w:ilvl w:val="0"/>
          <w:numId w:val="1028"/>
        </w:numPr>
        <w:pStyle w:val="Compact"/>
      </w:pPr>
      <w:r>
        <w:t xml:space="preserve">User clicks Collateral — loads</w:t>
      </w:r>
      <w:r>
        <w:t xml:space="preserve"> </w:t>
      </w:r>
      <w:r>
        <w:rPr>
          <w:rStyle w:val="VerbatimChar"/>
        </w:rPr>
        <w:t xml:space="preserve">fact_collateral WHERE counterparty_id = X</w:t>
      </w:r>
      <w:r>
        <w:t xml:space="preserve">. Shows IA/VM/IM split by agreement.</w:t>
      </w:r>
    </w:p>
    <w:p>
      <w:pPr>
        <w:pStyle w:val="FirstParagraph"/>
      </w:pPr>
      <w:r>
        <w:t xml:space="preserve">Each tab loads only what’s asked for. Each respects native grain. User perceives one unified counterparty experience.</w:t>
      </w:r>
    </w:p>
    <w:bookmarkEnd w:id="85"/>
    <w:bookmarkEnd w:id="86"/>
    <w:bookmarkStart w:id="87" w:name="three-concrete-grain-examples"/>
    <w:p>
      <w:pPr>
        <w:pStyle w:val="Heading3"/>
      </w:pPr>
      <w:r>
        <w:t xml:space="preserve">Three concrete grain examples</w:t>
      </w:r>
    </w:p>
    <w:p>
      <w:pPr>
        <w:pStyle w:val="FirstParagraph"/>
      </w:pPr>
      <w:r>
        <w:rPr>
          <w:bCs/>
          <w:b/>
        </w:rPr>
        <w:t xml:space="preserve">PFE for a counterparty (from Layer 1):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pfe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riskwh.gold.cp_risk_summary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counterparty_id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valuation_date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'2026-05-04'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Returns one number — the pre-baked MAX across time buckets and netting sets</w:t>
      </w:r>
    </w:p>
    <w:p>
      <w:pPr>
        <w:pStyle w:val="FirstParagraph"/>
      </w:pPr>
      <w:r>
        <w:rPr>
          <w:bCs/>
          <w:b/>
        </w:rPr>
        <w:t xml:space="preserve">Collateral by type for a counterparty (Layer 2):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agreement_id, collateral_type,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amt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riskwh.gold.fact_collateral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counterparty_id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as_of_date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'2026-05-04'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agreement_id, collateral_type;</w:t>
      </w:r>
      <w:r>
        <w:br/>
      </w:r>
      <w:r>
        <w:rPr>
          <w:rStyle w:val="CommentTok"/>
        </w:rPr>
        <w:t xml:space="preserve">-- Preserves IA/VM/IM distinction; never combined into one "collateral" number</w:t>
      </w:r>
    </w:p>
    <w:p>
      <w:pPr>
        <w:pStyle w:val="FirstParagraph"/>
      </w:pPr>
      <w:r>
        <w:rPr>
          <w:bCs/>
          <w:b/>
        </w:rPr>
        <w:t xml:space="preserve">CS01 by tenor for a counterparty (Layer 2):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tenor,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(cs01)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cs01_total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riskwh.gold.fact_sensitivities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counterparty_id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valuation_date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'2026-05-04'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tenor;</w:t>
      </w:r>
      <w:r>
        <w:br/>
      </w:r>
      <w:r>
        <w:rPr>
          <w:rStyle w:val="CommentTok"/>
        </w:rPr>
        <w:t xml:space="preserve">-- Semantic layer permits SUM because CS01 is additive</w:t>
      </w:r>
    </w:p>
    <w:bookmarkEnd w:id="87"/>
    <w:bookmarkStart w:id="88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A 360-style analytics product cannot be served by a single wide table. It requires:</w:t>
      </w:r>
    </w:p>
    <w:p>
      <w:pPr>
        <w:numPr>
          <w:ilvl w:val="0"/>
          <w:numId w:val="1029"/>
        </w:numPr>
        <w:pStyle w:val="Compact"/>
      </w:pPr>
      <w:r>
        <w:t xml:space="preserve">One curated</w:t>
      </w:r>
      <w:r>
        <w:t xml:space="preserve"> </w:t>
      </w:r>
      <w:r>
        <w:rPr>
          <w:bCs/>
          <w:b/>
        </w:rPr>
        <w:t xml:space="preserve">summary</w:t>
      </w:r>
      <w:r>
        <w:t xml:space="preserve"> </w:t>
      </w:r>
      <w:r>
        <w:t xml:space="preserve">product at the entity grain (Layer 1)</w:t>
      </w:r>
    </w:p>
    <w:p>
      <w:pPr>
        <w:numPr>
          <w:ilvl w:val="0"/>
          <w:numId w:val="1029"/>
        </w:numPr>
        <w:pStyle w:val="Compact"/>
      </w:pPr>
      <w:r>
        <w:t xml:space="preserve">Several</w:t>
      </w:r>
      <w:r>
        <w:t xml:space="preserve"> </w:t>
      </w:r>
      <w:r>
        <w:rPr>
          <w:bCs/>
          <w:b/>
        </w:rPr>
        <w:t xml:space="preserve">atomic</w:t>
      </w:r>
      <w:r>
        <w:t xml:space="preserve"> </w:t>
      </w:r>
      <w:r>
        <w:t xml:space="preserve">products at their native grains (Layer 2)</w:t>
      </w:r>
    </w:p>
    <w:p>
      <w:pPr>
        <w:numPr>
          <w:ilvl w:val="0"/>
          <w:numId w:val="1029"/>
        </w:numPr>
        <w:pStyle w:val="Compact"/>
      </w:pPr>
      <w:r>
        <w:t xml:space="preserve">A BI</w:t>
      </w:r>
      <w:r>
        <w:t xml:space="preserve"> </w:t>
      </w:r>
      <w:r>
        <w:rPr>
          <w:bCs/>
          <w:b/>
        </w:rPr>
        <w:t xml:space="preserve">orchestration</w:t>
      </w:r>
      <w:r>
        <w:t xml:space="preserve"> </w:t>
      </w:r>
      <w:r>
        <w:t xml:space="preserve">layer that ties them as a single user experience (Layer 3)</w:t>
      </w:r>
    </w:p>
    <w:p>
      <w:pPr>
        <w:pStyle w:val="FirstParagraph"/>
      </w:pPr>
      <w:r>
        <w:t xml:space="preserve">This is how every counterparty risk dashboard at every major bank is built.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Where to next:</w:t>
      </w:r>
    </w:p>
    <w:p>
      <w:pPr>
        <w:numPr>
          <w:ilvl w:val="0"/>
          <w:numId w:val="1030"/>
        </w:numPr>
        <w:pStyle w:val="Compact"/>
      </w:pPr>
      <w:r>
        <w:t xml:space="preserve">→ To onboard your own data following this pattern:</w:t>
      </w:r>
      <w:r>
        <w:t xml:space="preserve"> </w:t>
      </w:r>
      <w:r>
        <w:rPr>
          <w:bCs/>
          <w:b/>
        </w:rPr>
        <w:t xml:space="preserve">3. Standards &amp; Artifacts Library</w:t>
      </w:r>
    </w:p>
    <w:p>
      <w:pPr>
        <w:numPr>
          <w:ilvl w:val="0"/>
          <w:numId w:val="1030"/>
        </w:numPr>
        <w:pStyle w:val="Compact"/>
      </w:pPr>
      <w:r>
        <w:t xml:space="preserve">← Back to</w:t>
      </w:r>
      <w:r>
        <w:t xml:space="preserve"> </w:t>
      </w:r>
      <w:r>
        <w:rPr>
          <w:bCs/>
          <w:b/>
        </w:rPr>
        <w:t xml:space="preserve">2. Architecture &amp; Design</w:t>
      </w:r>
    </w:p>
    <w:p>
      <w:pPr>
        <w:pStyle w:val="FirstParagraph"/>
      </w:pPr>
      <w:r>
        <w:rPr>
          <w:bCs/>
          <w:b/>
        </w:rPr>
        <w:t xml:space="preserve">Related:</w:t>
      </w:r>
    </w:p>
    <w:p>
      <w:pPr>
        <w:numPr>
          <w:ilvl w:val="0"/>
          <w:numId w:val="1031"/>
        </w:numPr>
        <w:pStyle w:val="Compact"/>
      </w:pPr>
      <w:r>
        <w:t xml:space="preserve">Why grain matters →</w:t>
      </w:r>
      <w:r>
        <w:t xml:space="preserve"> </w:t>
      </w:r>
      <w:r>
        <w:rPr>
          <w:bCs/>
          <w:b/>
        </w:rPr>
        <w:t xml:space="preserve">4. Glossary &amp; Terminology</w:t>
      </w:r>
    </w:p>
    <w:p>
      <w:pPr>
        <w:numPr>
          <w:ilvl w:val="0"/>
          <w:numId w:val="1031"/>
        </w:numPr>
        <w:pStyle w:val="Compact"/>
      </w:pPr>
      <w:r>
        <w:t xml:space="preserve">Three-tier ownership for layered products →</w:t>
      </w:r>
      <w:r>
        <w:t xml:space="preserve"> </w:t>
      </w:r>
      <w:r>
        <w:rPr>
          <w:bCs/>
          <w:b/>
        </w:rPr>
        <w:t xml:space="preserve">1. Operating Model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0" w:name="page-6.-governance-cadence"/>
    <w:p>
      <w:pPr>
        <w:pStyle w:val="Heading2"/>
      </w:pPr>
      <w:r>
        <w:t xml:space="preserve">PAGE: 6. Governance &amp; Cadence</w:t>
      </w:r>
    </w:p>
    <w:p>
      <w:pPr>
        <w:pStyle w:val="FirstParagraph"/>
      </w:pPr>
      <w:r>
        <w:rPr>
          <w:iCs/>
          <w:i/>
        </w:rPr>
        <w:t xml:space="preserve">Risk Architecture › Risk Data — Operating Model &amp; Standards › 6. Governance &amp; Cadence</w:t>
      </w:r>
    </w:p>
    <w:p>
      <w:pPr>
        <w:pStyle w:val="BodyText"/>
      </w:pPr>
      <w:r>
        <w:t xml:space="preserve">[/toc]</w:t>
      </w:r>
    </w:p>
    <w:p>
      <w:pPr>
        <w:pStyle w:val="BlockText"/>
      </w:pPr>
      <w:r>
        <w:rPr>
          <w:bCs/>
          <w:b/>
        </w:rPr>
        <w:t xml:space="preserve">Page purpose:</w:t>
      </w:r>
      <w:r>
        <w:t xml:space="preserve"> </w:t>
      </w:r>
      <w:r>
        <w:t xml:space="preserve">How decisions get made, how meetings work, how changes to these standards get managed.</w:t>
      </w:r>
      <w:r>
        <w:t xml:space="preserve"> </w:t>
      </w:r>
      <w:r>
        <w:rPr>
          <w:bCs/>
          <w:b/>
        </w:rPr>
        <w:t xml:space="preserve">Read this if:</w:t>
      </w:r>
      <w:r>
        <w:t xml:space="preserve"> </w:t>
      </w:r>
      <w:r>
        <w:t xml:space="preserve">you want to know when meetings happen, how to propose changes, or how to track what’s in flight.</w:t>
      </w:r>
    </w:p>
    <w:p>
      <w:r>
        <w:pict>
          <v:rect style="width:0;height:1.5pt" o:hralign="center" o:hrstd="t" o:hr="t"/>
        </w:pict>
      </w:r>
    </w:p>
    <w:bookmarkStart w:id="91" w:name="meeting-cadence"/>
    <w:p>
      <w:pPr>
        <w:pStyle w:val="Heading3"/>
      </w:pPr>
      <w:r>
        <w:t xml:space="preserve">Meeting cadence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1320"/>
        <w:gridCol w:w="2376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(operational)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↔ TDVIP /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contact via 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 drives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↔ Product Group Leaders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needs, roster, DD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chairs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Leader ↔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Requirements, Path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Leader chairs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↔ CDO / Enterprise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Standards, templates, enterprise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CDO/EA chairs; DD attends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↔ Tech Lead /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to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↔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1 + semantic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initiates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alignment (Vendor / TDVIP-Infra)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capacity, 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contributes when involved</w:t>
            </w:r>
          </w:p>
        </w:tc>
      </w:tr>
    </w:tbl>
    <w:bookmarkStart w:id="90" w:name="standing-items"/>
    <w:p>
      <w:pPr>
        <w:pStyle w:val="Heading4"/>
      </w:pPr>
      <w:r>
        <w:t xml:space="preserve">Standing items</w:t>
      </w:r>
    </w:p>
    <w:p>
      <w:pPr>
        <w:pStyle w:val="FirstParagraph"/>
      </w:pPr>
      <w:r>
        <w:rPr>
          <w:bCs/>
          <w:b/>
        </w:rPr>
        <w:t xml:space="preserve">DD ↔ Product Group Leaders (weekly)</w:t>
      </w:r>
      <w:r>
        <w:t xml:space="preserve"> </w:t>
      </w:r>
      <w:r>
        <w:t xml:space="preserve">— agenda always includes:</w:t>
      </w:r>
    </w:p>
    <w:p>
      <w:pPr>
        <w:numPr>
          <w:ilvl w:val="0"/>
          <w:numId w:val="1032"/>
        </w:numPr>
        <w:pStyle w:val="Compact"/>
      </w:pPr>
      <w:r>
        <w:t xml:space="preserve">Roster review (what’s in flight per PG)</w:t>
      </w:r>
    </w:p>
    <w:p>
      <w:pPr>
        <w:numPr>
          <w:ilvl w:val="0"/>
          <w:numId w:val="1032"/>
        </w:numPr>
        <w:pStyle w:val="Compact"/>
      </w:pPr>
      <w:r>
        <w:t xml:space="preserve">New asks from PG</w:t>
      </w:r>
    </w:p>
    <w:p>
      <w:pPr>
        <w:numPr>
          <w:ilvl w:val="0"/>
          <w:numId w:val="1032"/>
        </w:numPr>
        <w:pStyle w:val="Compact"/>
      </w:pPr>
      <w:r>
        <w:t xml:space="preserve">Dependencies and blockers</w:t>
      </w:r>
    </w:p>
    <w:p>
      <w:pPr>
        <w:numPr>
          <w:ilvl w:val="0"/>
          <w:numId w:val="1032"/>
        </w:numPr>
        <w:pStyle w:val="Compact"/>
      </w:pPr>
      <w:r>
        <w:t xml:space="preserve">Standards changes from CDO</w:t>
      </w:r>
    </w:p>
    <w:p>
      <w:pPr>
        <w:pStyle w:val="FirstParagraph"/>
      </w:pPr>
      <w:r>
        <w:rPr>
          <w:bCs/>
          <w:b/>
        </w:rPr>
        <w:t xml:space="preserve">DD ↔ CDO / EA (bi-weekly)</w:t>
      </w:r>
      <w:r>
        <w:t xml:space="preserve"> </w:t>
      </w:r>
      <w:r>
        <w:t xml:space="preserve">— agenda always includes:</w:t>
      </w:r>
    </w:p>
    <w:p>
      <w:pPr>
        <w:numPr>
          <w:ilvl w:val="0"/>
          <w:numId w:val="1033"/>
        </w:numPr>
        <w:pStyle w:val="Compact"/>
      </w:pPr>
      <w:r>
        <w:t xml:space="preserve">Risk’s implementation status against enterprise standards</w:t>
      </w:r>
    </w:p>
    <w:p>
      <w:pPr>
        <w:numPr>
          <w:ilvl w:val="0"/>
          <w:numId w:val="1033"/>
        </w:numPr>
        <w:pStyle w:val="Compact"/>
      </w:pPr>
      <w:r>
        <w:t xml:space="preserve">Risk contributions to canonical models</w:t>
      </w:r>
    </w:p>
    <w:p>
      <w:pPr>
        <w:numPr>
          <w:ilvl w:val="0"/>
          <w:numId w:val="1033"/>
        </w:numPr>
        <w:pStyle w:val="Compact"/>
      </w:pPr>
      <w:r>
        <w:t xml:space="preserve">Changes to standards that Risk needs to adopt</w:t>
      </w:r>
    </w:p>
    <w:p>
      <w:pPr>
        <w:numPr>
          <w:ilvl w:val="0"/>
          <w:numId w:val="1033"/>
        </w:numPr>
        <w:pStyle w:val="Compact"/>
      </w:pPr>
      <w:r>
        <w:t xml:space="preserve">Cross-domain concerns</w:t>
      </w:r>
    </w:p>
    <w:bookmarkEnd w:id="90"/>
    <w:bookmarkEnd w:id="91"/>
    <w:bookmarkStart w:id="95" w:name="dd-project-roster"/>
    <w:p>
      <w:pPr>
        <w:pStyle w:val="Heading3"/>
      </w:pPr>
      <w:r>
        <w:t xml:space="preserve">DD project roster</w:t>
      </w:r>
    </w:p>
    <w:p>
      <w:pPr>
        <w:pStyle w:val="FirstParagraph"/>
      </w:pPr>
      <w:r>
        <w:rPr>
          <w:rStyle w:val="VerbatimChar"/>
        </w:rPr>
        <w:t xml:space="preserve">[DRAFT v1 — feedback welcome]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Single tracker of every active ask. Maintained by DD. Reviewed weekly with PG Leaders, monthly with Risk leadership.</w:t>
      </w:r>
    </w:p>
    <w:bookmarkStart w:id="92" w:name="roster-structure"/>
    <w:p>
      <w:pPr>
        <w:pStyle w:val="Heading4"/>
      </w:pPr>
      <w:r>
        <w:t xml:space="preserve">Roster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"/>
        <w:gridCol w:w="1689"/>
        <w:gridCol w:w="422"/>
        <w:gridCol w:w="422"/>
        <w:gridCol w:w="844"/>
        <w:gridCol w:w="422"/>
        <w:gridCol w:w="1478"/>
        <w:gridCol w:w="1372"/>
        <w:gridCol w:w="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Requesting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onboarding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→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IN-FLIGHT</w:t>
            </w:r>
          </w:p>
        </w:tc>
      </w:tr>
    </w:tbl>
    <w:bookmarkEnd w:id="92"/>
    <w:bookmarkStart w:id="93" w:name="how-items-get-added"/>
    <w:p>
      <w:pPr>
        <w:pStyle w:val="Heading4"/>
      </w:pPr>
      <w:r>
        <w:t xml:space="preserve">How items get added</w:t>
      </w:r>
    </w:p>
    <w:p>
      <w:pPr>
        <w:numPr>
          <w:ilvl w:val="0"/>
          <w:numId w:val="1034"/>
        </w:numPr>
        <w:pStyle w:val="Compact"/>
      </w:pPr>
      <w:r>
        <w:t xml:space="preserve">App team / Business team / PG Leader requests via the Onboarding Form (see</w:t>
      </w:r>
      <w:r>
        <w:t xml:space="preserve"> </w:t>
      </w:r>
      <w:r>
        <w:rPr>
          <w:iCs/>
          <w:i/>
        </w:rPr>
        <w:t xml:space="preserve">Standards &amp; Artifacts Library</w:t>
      </w:r>
      <w:r>
        <w:t xml:space="preserve">) or direct message to DD</w:t>
      </w:r>
    </w:p>
    <w:p>
      <w:pPr>
        <w:numPr>
          <w:ilvl w:val="0"/>
          <w:numId w:val="1034"/>
        </w:numPr>
        <w:pStyle w:val="Compact"/>
      </w:pPr>
      <w:r>
        <w:t xml:space="preserve">DD assigns ID, adds to roster, books review slot</w:t>
      </w:r>
    </w:p>
    <w:p>
      <w:pPr>
        <w:numPr>
          <w:ilvl w:val="0"/>
          <w:numId w:val="1034"/>
        </w:numPr>
        <w:pStyle w:val="Compact"/>
      </w:pPr>
      <w:r>
        <w:t xml:space="preserve">Status updated weekly</w:t>
      </w:r>
    </w:p>
    <w:bookmarkEnd w:id="93"/>
    <w:bookmarkStart w:id="94" w:name="status-definitions"/>
    <w:p>
      <w:pPr>
        <w:pStyle w:val="Heading4"/>
      </w:pPr>
      <w:r>
        <w:t xml:space="preserve">Status definitions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REQUESTED</w:t>
      </w:r>
      <w:r>
        <w:t xml:space="preserve"> </w:t>
      </w:r>
      <w:r>
        <w:t xml:space="preserve">— newly raised, not yet reviewed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PLANNED</w:t>
      </w:r>
      <w:r>
        <w:t xml:space="preserve"> </w:t>
      </w:r>
      <w:r>
        <w:t xml:space="preserve">— reviewed and on roadmap, not yet started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IN-FLIGHT</w:t>
      </w:r>
      <w:r>
        <w:t xml:space="preserve"> </w:t>
      </w:r>
      <w:r>
        <w:t xml:space="preserve">— work has started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BLOCKED</w:t>
      </w:r>
      <w:r>
        <w:t xml:space="preserve"> </w:t>
      </w:r>
      <w:r>
        <w:t xml:space="preserve">— dependency unresolved (note dependency)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DONE</w:t>
      </w:r>
      <w:r>
        <w:t xml:space="preserve"> </w:t>
      </w:r>
      <w:r>
        <w:t xml:space="preserve">— delivered; product registered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DEFERRED</w:t>
      </w:r>
      <w:r>
        <w:t xml:space="preserve"> </w:t>
      </w:r>
      <w:r>
        <w:t xml:space="preserve">— deprioritised; revisit date noted</w:t>
      </w:r>
    </w:p>
    <w:bookmarkEnd w:id="94"/>
    <w:bookmarkEnd w:id="95"/>
    <w:bookmarkStart w:id="99" w:name="change-management-for-these-standards"/>
    <w:p>
      <w:pPr>
        <w:pStyle w:val="Heading3"/>
      </w:pPr>
      <w:r>
        <w:t xml:space="preserve">Change management for these standards</w:t>
      </w:r>
    </w:p>
    <w:p>
      <w:pPr>
        <w:pStyle w:val="FirstParagraph"/>
      </w:pPr>
      <w:r>
        <w:rPr>
          <w:rStyle w:val="VerbatimChar"/>
        </w:rPr>
        <w:t xml:space="preserve">[DRAFT v1 — feedback welcome]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This space is a living document. Standards will evolve. Here’s how changes are proposed, reviewed, and communicated.</w:t>
      </w:r>
    </w:p>
    <w:bookmarkStart w:id="96" w:name="change-types"/>
    <w:p>
      <w:pPr>
        <w:pStyle w:val="Heading4"/>
      </w:pPr>
      <w:r>
        <w:t xml:space="preserve">Change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980"/>
        <w:gridCol w:w="277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Typo, clarification, link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just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optional tag, new template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DD; informed: PG Leaders, Tech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Substantive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required tag, change to onboarding form, new mandated naming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with PG Leader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 schema standards, change to UC tag taxonomy that affects existing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with CDO + PG Leader sign-off</w:t>
            </w:r>
          </w:p>
        </w:tc>
      </w:tr>
    </w:tbl>
    <w:bookmarkEnd w:id="96"/>
    <w:bookmarkStart w:id="97" w:name="change-proposal-workflow"/>
    <w:p>
      <w:pPr>
        <w:pStyle w:val="Heading4"/>
      </w:pPr>
      <w:r>
        <w:t xml:space="preserve">Change proposal workflow</w:t>
      </w:r>
    </w:p>
    <w:p>
      <w:pPr>
        <w:numPr>
          <w:ilvl w:val="0"/>
          <w:numId w:val="1036"/>
        </w:numPr>
        <w:pStyle w:val="Compact"/>
      </w:pPr>
      <w:r>
        <w:t xml:space="preserve">Anyone (App team, Business, Central, Tech Lead, PG Leader) can propose a change via comment on the relevant page</w:t>
      </w:r>
    </w:p>
    <w:p>
      <w:pPr>
        <w:numPr>
          <w:ilvl w:val="0"/>
          <w:numId w:val="1036"/>
        </w:numPr>
        <w:pStyle w:val="Compact"/>
      </w:pPr>
      <w:r>
        <w:t xml:space="preserve">DD logs the proposal in the change log (below)</w:t>
      </w:r>
    </w:p>
    <w:p>
      <w:pPr>
        <w:numPr>
          <w:ilvl w:val="0"/>
          <w:numId w:val="1036"/>
        </w:numPr>
        <w:pStyle w:val="Compact"/>
      </w:pPr>
      <w:r>
        <w:t xml:space="preserve">DD assigns change type and notice period</w:t>
      </w:r>
    </w:p>
    <w:p>
      <w:pPr>
        <w:numPr>
          <w:ilvl w:val="0"/>
          <w:numId w:val="1036"/>
        </w:numPr>
        <w:pStyle w:val="Compact"/>
      </w:pPr>
      <w:r>
        <w:t xml:space="preserve">Proposal posted with notice period; comment window open</w:t>
      </w:r>
    </w:p>
    <w:p>
      <w:pPr>
        <w:numPr>
          <w:ilvl w:val="0"/>
          <w:numId w:val="1036"/>
        </w:numPr>
        <w:pStyle w:val="Compact"/>
      </w:pPr>
      <w:r>
        <w:t xml:space="preserve">After notice period and addressing comments, change is committed</w:t>
      </w:r>
    </w:p>
    <w:p>
      <w:pPr>
        <w:numPr>
          <w:ilvl w:val="0"/>
          <w:numId w:val="1036"/>
        </w:numPr>
        <w:pStyle w:val="Compact"/>
      </w:pPr>
      <w:r>
        <w:t xml:space="preserve">Change announced in next applicable meeting cadence</w:t>
      </w:r>
    </w:p>
    <w:bookmarkEnd w:id="97"/>
    <w:bookmarkStart w:id="98" w:name="change-log"/>
    <w:p>
      <w:pPr>
        <w:pStyle w:val="Heading4"/>
      </w:pPr>
      <w:r>
        <w:t xml:space="preserve">Change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(To be appended as changes are made.)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Where to next:</w:t>
      </w:r>
    </w:p>
    <w:p>
      <w:pPr>
        <w:numPr>
          <w:ilvl w:val="0"/>
          <w:numId w:val="1037"/>
        </w:numPr>
        <w:pStyle w:val="Compact"/>
      </w:pPr>
      <w:r>
        <w:t xml:space="preserve">← Back to</w:t>
      </w:r>
      <w:r>
        <w:t xml:space="preserve"> </w:t>
      </w:r>
      <w:r>
        <w:rPr>
          <w:bCs/>
          <w:b/>
        </w:rPr>
        <w:t xml:space="preserve">landing page</w:t>
      </w:r>
    </w:p>
    <w:p>
      <w:pPr>
        <w:pStyle w:val="FirstParagraph"/>
      </w:pPr>
      <w:r>
        <w:rPr>
          <w:bCs/>
          <w:b/>
        </w:rPr>
        <w:t xml:space="preserve">Related:</w:t>
      </w:r>
    </w:p>
    <w:p>
      <w:pPr>
        <w:numPr>
          <w:ilvl w:val="0"/>
          <w:numId w:val="1038"/>
        </w:numPr>
        <w:pStyle w:val="Compact"/>
      </w:pPr>
      <w:r>
        <w:t xml:space="preserve">Who attends each meeting →</w:t>
      </w:r>
      <w:r>
        <w:t xml:space="preserve"> </w:t>
      </w:r>
      <w:r>
        <w:rPr>
          <w:bCs/>
          <w:b/>
        </w:rPr>
        <w:t xml:space="preserve">1. Operating Model</w:t>
      </w:r>
    </w:p>
    <w:p>
      <w:pPr>
        <w:numPr>
          <w:ilvl w:val="0"/>
          <w:numId w:val="1038"/>
        </w:numPr>
        <w:pStyle w:val="Compact"/>
      </w:pPr>
      <w:r>
        <w:t xml:space="preserve">Templates that get governed by these processes →</w:t>
      </w:r>
      <w:r>
        <w:t xml:space="preserve"> </w:t>
      </w:r>
      <w:r>
        <w:rPr>
          <w:bCs/>
          <w:b/>
        </w:rPr>
        <w:t xml:space="preserve">3. Standards &amp; Artifacts Library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Confluence content source file.</w:t>
      </w:r>
    </w:p>
    <w:bookmarkEnd w:id="98"/>
    <w:bookmarkEnd w:id="99"/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URL_PLACEHOL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URL_PLACEHOL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2026-05-07T22:17:27Z</dcterms:created>
  <dcterms:modified xsi:type="dcterms:W3CDTF">2026-05-07T22:17:27Z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