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image-feedback-consolidated-for-editing"/>
    <w:p>
      <w:pPr>
        <w:pStyle w:val="Heading1"/>
      </w:pPr>
      <w:r>
        <w:t xml:space="preserve">Image Feedback — Consolidated for Editing</w:t>
      </w:r>
    </w:p>
    <w:p>
      <w:pPr>
        <w:pStyle w:val="FirstParagraph"/>
      </w:pPr>
      <w:r>
        <w:rPr>
          <w:iCs/>
          <w:i/>
        </w:rPr>
        <w:t xml:space="preserve">Consolidates the feedback given across the session on every image and slide reviewed. Use this alongside the images when making edits.</w:t>
      </w:r>
    </w:p>
    <w:p>
      <w:r>
        <w:pict>
          <v:rect style="width:0;height:1.5pt" o:hralign="center" o:hrstd="t" o:hr="t"/>
        </w:pict>
      </w:r>
    </w:p>
    <w:bookmarkStart w:id="20" w:name="X83a7117719c1f3f825240db7081866c94ac1453"/>
    <w:p>
      <w:pPr>
        <w:pStyle w:val="Heading2"/>
      </w:pPr>
      <w:r>
        <w:t xml:space="preserve">Quick reference — which images had feedback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78"/>
        <w:gridCol w:w="3168"/>
        <w:gridCol w:w="1810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/ slide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Databricks Risk Operating Model diagram (</w:t>
            </w:r>
            <w:r>
              <w:rPr>
                <w:rStyle w:val="VerbatimChar"/>
              </w:rPr>
              <w:t xml:space="preserve">IMG_6213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TDS Data Operating Model — Data Domains (</w:t>
            </w:r>
            <w:r>
              <w:rPr>
                <w:rStyle w:val="VerbatimChar"/>
              </w:rPr>
              <w:t xml:space="preserve">IMG_6211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Model Data Journey (Slide 2 of master deck)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Rebuilt — see new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 Star Risk Data Journey (Slide 7 of master deck)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Rebuilt — see new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 / RASCI slide (Slide 10 of master deck)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Rebuilt — see new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Confluence page screenshots (rendering issues)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in v3 / v4 / v5 of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Pyramid v1 edited screenshot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Rebuilt as v2 with native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</w:t>
            </w:r>
          </w:p>
        </w:tc>
      </w:tr>
    </w:tbl>
    <w:p>
      <w:pPr>
        <w:pStyle w:val="BodyText"/>
      </w:pPr>
      <w:r>
        <w:t xml:space="preserve">The active item that still needs your edit is</w:t>
      </w:r>
      <w:r>
        <w:t xml:space="preserve"> </w:t>
      </w:r>
      <w:r>
        <w:rPr>
          <w:bCs/>
          <w:b/>
        </w:rPr>
        <w:t xml:space="preserve">#1 — the Databricks Risk Operating Model diagram</w:t>
      </w:r>
      <w:r>
        <w:t xml:space="preserve">. The others are either already addressed (rebuilt files were delivered) or didn’t need changes.</w:t>
      </w:r>
    </w:p>
    <w:p>
      <w:r>
        <w:pict>
          <v:rect style="width:0;height:1.5pt" o:hralign="center" o:hrstd="t" o:hr="t"/>
        </w:pict>
      </w:r>
    </w:p>
    <w:bookmarkEnd w:id="20"/>
    <w:bookmarkStart w:id="29" w:name="X729b2c2e65de2783d64123fd081a4c7e16067b4"/>
    <w:p>
      <w:pPr>
        <w:pStyle w:val="Heading2"/>
      </w:pPr>
      <w:r>
        <w:t xml:space="preserve">1. Databricks Risk Operating Model diagram (</w:t>
      </w:r>
      <w:r>
        <w:rPr>
          <w:rStyle w:val="VerbatimChar"/>
        </w:rPr>
        <w:t xml:space="preserve">IMG_6213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The image:</w:t>
      </w:r>
      <w:r>
        <w:t xml:space="preserve"> </w:t>
      </w:r>
      <w:r>
        <w:t xml:space="preserve">Risk workspace in Databricks showing the</w:t>
      </w:r>
      <w:r>
        <w:t xml:space="preserve"> </w:t>
      </w:r>
      <w:r>
        <w:rPr>
          <w:rStyle w:val="VerbatimChar"/>
        </w:rPr>
        <w:t xml:space="preserve">riskwh</w:t>
      </w:r>
      <w:r>
        <w:t xml:space="preserve"> </w:t>
      </w:r>
      <w:r>
        <w:t xml:space="preserve">catalog at top with gold / silver / sandbox layers; four PG catalogs (</w:t>
      </w:r>
      <w:r>
        <w:rPr>
          <w:rStyle w:val="VerbatimChar"/>
        </w:rPr>
        <w:t xml:space="preserve">creditrisk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liquidity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</w:t>
      </w:r>
      <w:r>
        <w:t xml:space="preserve">) each containing app schemas (xvala, TCC, regds, CMOS) plus a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schema; a sandbox layer at the bottom; Risk Apps column on the left; TDVIP workspace at the bottom (gold / silver / raw); right-side annotations and callouts.</w:t>
      </w:r>
    </w:p>
    <w:bookmarkStart w:id="21" w:name="what-worked-well-keep-as-is"/>
    <w:p>
      <w:pPr>
        <w:pStyle w:val="Heading3"/>
      </w:pPr>
      <w:r>
        <w:t xml:space="preserve">What worked well — keep as 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Physical placement is correct.</w:t>
      </w:r>
      <w:r>
        <w:t xml:space="preserve"> </w:t>
      </w:r>
      <w:r>
        <w:t xml:space="preserve">Showing the PG conformed schema inside each PG catalog (not as a separate catalog) matches the locked architecture and matches industry standard. Many bank diagrams get this wrong; yours does not.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flow direction is right.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Resolves to</w:t>
      </w:r>
      <w:r>
        <w:t xml:space="preserve">”</w:t>
      </w:r>
      <w:r>
        <w:t xml:space="preserve"> </w:t>
      </w:r>
      <w:r>
        <w:t xml:space="preserve">arrow from PG catalogs up to</w:t>
      </w:r>
      <w:r>
        <w:t xml:space="preserve"> </w:t>
      </w:r>
      <w:r>
        <w:rPr>
          <w:rStyle w:val="VerbatimChar"/>
        </w:rPr>
        <w:t xml:space="preserve">riskwh</w:t>
      </w:r>
      <w:r>
        <w:t xml:space="preserve"> </w:t>
      </w:r>
      <w:r>
        <w:t xml:space="preserve">correctly captures that the warehouse pulls dimensions from PG conformed without redefining them.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TDVIP separation is right.</w:t>
      </w:r>
      <w:r>
        <w:t xml:space="preserve"> </w:t>
      </w:r>
      <w:r>
        <w:t xml:space="preserve">Showing CDM as a separate workspace, with Risk publishing to it, matches the domain-extension-with-selective-enterprise-publication pattern used at JPM, Goldman, and BofA.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Missing: Schema conformance, Data conformance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callout is honest.</w:t>
      </w:r>
      <w:r>
        <w:t xml:space="preserve"> </w:t>
      </w:r>
      <w:r>
        <w:t xml:space="preserve">That’s the gap the new Standards work fills.</w:t>
      </w:r>
    </w:p>
    <w:bookmarkEnd w:id="21"/>
    <w:bookmarkStart w:id="27" w:name="what-to-change-five-edits"/>
    <w:p>
      <w:pPr>
        <w:pStyle w:val="Heading3"/>
      </w:pPr>
      <w:r>
        <w:t xml:space="preserve">What to change — five edits</w:t>
      </w:r>
    </w:p>
    <w:bookmarkStart w:id="22" w:name="Xdc50a35f1682219aa11fca1d039602093dc2d60"/>
    <w:p>
      <w:pPr>
        <w:pStyle w:val="Heading4"/>
      </w:pPr>
      <w:r>
        <w:t xml:space="preserve">Edit 1 — Rename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conformed</w:t>
      </w:r>
      <w:r>
        <w:t xml:space="preserve"> </w:t>
      </w:r>
      <w:r>
        <w:t xml:space="preserve">in each PG catalog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label inside each of the four PG catalogs is a placeholder. It should be renamed to</w:t>
      </w:r>
      <w:r>
        <w:t xml:space="preserve"> </w:t>
      </w:r>
      <w:r>
        <w:rPr>
          <w:rStyle w:val="VerbatimChar"/>
          <w:bCs/>
          <w:b/>
        </w:rPr>
        <w:t xml:space="preserve">conformed</w:t>
      </w:r>
      <w:r>
        <w:t xml:space="preserve"> </w:t>
      </w:r>
      <w:r>
        <w:t xml:space="preserve">in all four PG catalogs: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creditrisk.new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creditrisk.conformed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marketrisk.new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marketrisk.conformed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liquidity.new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liquidity.conformed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finance.new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finance.conformed</w:t>
      </w:r>
    </w:p>
    <w:p>
      <w:pPr>
        <w:pStyle w:val="FirstParagraph"/>
      </w:pPr>
      <w:r>
        <w:t xml:space="preserve">This matches the locked architecture name. The PG conformed schema is where dimensions get resolved across apps and where CDM entities get enriched. Calling it</w:t>
      </w:r>
      <w:r>
        <w:t xml:space="preserve"> </w:t>
      </w:r>
      <w:r>
        <w:rPr>
          <w:rStyle w:val="VerbatimChar"/>
        </w:rPr>
        <w:t xml:space="preserve">conformed</w:t>
      </w:r>
      <w:r>
        <w:t xml:space="preserve"> </w:t>
      </w:r>
      <w:r>
        <w:t xml:space="preserve">makes that clear.</w:t>
      </w:r>
    </w:p>
    <w:bookmarkEnd w:id="22"/>
    <w:bookmarkStart w:id="23" w:name="X0ca70e37fabaf93c9707b64132ff01cf6342ef1"/>
    <w:p>
      <w:pPr>
        <w:pStyle w:val="Heading4"/>
      </w:pPr>
      <w:r>
        <w:t xml:space="preserve">Edit 2 — Remove the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placeholder near the top of</w:t>
      </w:r>
      <w:r>
        <w:t xml:space="preserve"> </w:t>
      </w:r>
      <w:r>
        <w:rPr>
          <w:rStyle w:val="VerbatimChar"/>
        </w:rPr>
        <w:t xml:space="preserve">riskwh</w:t>
      </w:r>
    </w:p>
    <w:p>
      <w:pPr>
        <w:pStyle w:val="FirstParagraph"/>
      </w:pPr>
      <w:r>
        <w:t xml:space="preserve">There’s a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placeholder near the top of the</w:t>
      </w:r>
      <w:r>
        <w:t xml:space="preserve"> </w:t>
      </w:r>
      <w:r>
        <w:rPr>
          <w:rStyle w:val="VerbatimChar"/>
        </w:rPr>
        <w:t xml:space="preserve">riskwh</w:t>
      </w:r>
      <w:r>
        <w:t xml:space="preserve"> </w:t>
      </w:r>
      <w:r>
        <w:t xml:space="preserve">catalog (paired with gold/silver/sandbox). This isn’t needed. The</w:t>
      </w:r>
      <w:r>
        <w:t xml:space="preserve"> </w:t>
      </w:r>
      <w:r>
        <w:rPr>
          <w:rStyle w:val="VerbatimChar"/>
        </w:rPr>
        <w:t xml:space="preserve">riskwh</w:t>
      </w:r>
      <w:r>
        <w:t xml:space="preserve"> </w:t>
      </w:r>
      <w:r>
        <w:t xml:space="preserve">catalog has the three locked layers (</w:t>
      </w:r>
      <w:r>
        <w:rPr>
          <w:rStyle w:val="VerbatimChar"/>
        </w:rPr>
        <w:t xml:space="preserve">gold</w:t>
      </w:r>
      <w:r>
        <w:t xml:space="preserve">,</w:t>
      </w:r>
      <w:r>
        <w:t xml:space="preserve"> </w:t>
      </w:r>
      <w:r>
        <w:rPr>
          <w:rStyle w:val="VerbatimChar"/>
        </w:rPr>
        <w:t xml:space="preserve">silver</w:t>
      </w:r>
      <w:r>
        <w:t xml:space="preserve">,</w:t>
      </w:r>
      <w:r>
        <w:t xml:space="preserve"> </w:t>
      </w:r>
      <w:r>
        <w:rPr>
          <w:rStyle w:val="VerbatimChar"/>
        </w:rPr>
        <w:t xml:space="preserve">sandbox</w:t>
      </w:r>
      <w:r>
        <w:t xml:space="preserve">) plus</w:t>
      </w:r>
      <w:r>
        <w:t xml:space="preserve"> </w:t>
      </w:r>
      <w:r>
        <w:rPr>
          <w:rStyle w:val="VerbatimChar"/>
        </w:rPr>
        <w:t xml:space="preserve">semantic</w:t>
      </w:r>
      <w:r>
        <w:t xml:space="preserve">. No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placeholder belongs there.</w:t>
      </w:r>
    </w:p>
    <w:p>
      <w:pPr>
        <w:pStyle w:val="BodyText"/>
      </w:pPr>
      <w:r>
        <w:t xml:space="preserve">Recommend: remove the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placeholder entirely. If you want to be explicit about the layers inside</w:t>
      </w:r>
      <w:r>
        <w:t xml:space="preserve"> </w:t>
      </w:r>
      <w:r>
        <w:rPr>
          <w:rStyle w:val="VerbatimChar"/>
        </w:rPr>
        <w:t xml:space="preserve">riskwh</w:t>
      </w:r>
      <w:r>
        <w:t xml:space="preserve">, show them as: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riskwh.silver</w:t>
      </w:r>
      <w:r>
        <w:t xml:space="preserve"> </w:t>
      </w:r>
      <w:r>
        <w:t xml:space="preserve">— staging for analytics-layer build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riskwh.gold</w:t>
      </w:r>
      <w:r>
        <w:t xml:space="preserve"> </w:t>
      </w:r>
      <w:r>
        <w:t xml:space="preserve">— curated data products (physical, contracted)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riskwh.semantic</w:t>
      </w:r>
      <w:r>
        <w:t xml:space="preserve"> </w:t>
      </w:r>
      <w:r>
        <w:t xml:space="preserve">— semantic layer definitions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riskwh.sandbox</w:t>
      </w:r>
      <w:r>
        <w:t xml:space="preserve"> </w:t>
      </w:r>
      <w:r>
        <w:t xml:space="preserve">— exploration</w:t>
      </w:r>
    </w:p>
    <w:bookmarkEnd w:id="23"/>
    <w:bookmarkStart w:id="24" w:name="Xdb743f5d9efc87fe673fa458d92818e735b92fd"/>
    <w:p>
      <w:pPr>
        <w:pStyle w:val="Heading4"/>
      </w:pPr>
      <w:r>
        <w:t xml:space="preserve">Edit 3 — Add ownership labels per major zone</w:t>
      </w:r>
    </w:p>
    <w:p>
      <w:pPr>
        <w:pStyle w:val="FirstParagraph"/>
      </w:pPr>
      <w:r>
        <w:t xml:space="preserve">The diagram currently shows boxes but doesn’t say who owns each zone. Add small text labels (one-line, italics, in or near each major zone header):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Risk Workspace: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Owned by Risk Data Team</w:t>
      </w:r>
      <w:r>
        <w:rPr>
          <w:iCs/>
          <w:i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PG catalogs (creditrisk, marketrisk, liquidity, finance):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Owned by PG Leaders / Tech Product Owners</w:t>
      </w:r>
      <w:r>
        <w:rPr>
          <w:iCs/>
          <w:i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App schemas inside each PG: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Owned by App Teams</w:t>
      </w:r>
      <w:r>
        <w:rPr>
          <w:iCs/>
          <w:i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TDVIP workspace (CDM, normalised data model, raw):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Owned by CDO / TDVIP Data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This is the most consequential edit. Without it, a reader can’t tell who’s responsible for what zone.</w:t>
      </w:r>
    </w:p>
    <w:bookmarkEnd w:id="24"/>
    <w:bookmarkStart w:id="25" w:name="edit-4-annotate-the-consumer-entry-point"/>
    <w:p>
      <w:pPr>
        <w:pStyle w:val="Heading4"/>
      </w:pPr>
      <w:r>
        <w:t xml:space="preserve">Edit 4 — Annotate the consumer entry point</w:t>
      </w:r>
    </w:p>
    <w:p>
      <w:pPr>
        <w:pStyle w:val="FirstParagraph"/>
      </w:pPr>
      <w:r>
        <w:t xml:space="preserve">The diagram doesn’t make it visually obvious that consumers connect to</w:t>
      </w:r>
      <w:r>
        <w:t xml:space="preserve"> </w:t>
      </w:r>
      <w:r>
        <w:rPr>
          <w:rStyle w:val="VerbatimChar"/>
        </w:rPr>
        <w:t xml:space="preserve">riskwh</w:t>
      </w:r>
      <w:r>
        <w:t xml:space="preserve"> </w:t>
      </w:r>
      <w:r>
        <w:t xml:space="preserve">only — not to PG catalogs or app schemas directly. Add a small annotation or arrow pointing into</w:t>
      </w:r>
      <w:r>
        <w:t xml:space="preserve"> </w:t>
      </w:r>
      <w:r>
        <w:rPr>
          <w:rStyle w:val="VerbatimChar"/>
        </w:rPr>
        <w:t xml:space="preserve">riskwh.gold</w:t>
      </w:r>
      <w:r>
        <w:t xml:space="preserve"> </w:t>
      </w:r>
      <w:r>
        <w:t xml:space="preserve">labelled:</w:t>
      </w:r>
    </w:p>
    <w:p>
      <w:pPr>
        <w:pStyle w:val="BodyText"/>
      </w:pPr>
      <w:r>
        <w:rPr>
          <w:iCs/>
          <w:i/>
        </w:rPr>
        <w:t xml:space="preserve">“</w:t>
      </w:r>
      <w:r>
        <w:rPr>
          <w:iCs/>
          <w:i/>
        </w:rPr>
        <w:t xml:space="preserve">Consumers connect here (BI tools, dashboards, ad-hoc queries)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This reflects the locked consumer access policy from the Schema &amp; Catalog Design Standard.</w:t>
      </w:r>
    </w:p>
    <w:bookmarkEnd w:id="25"/>
    <w:bookmarkStart w:id="26" w:name="Xa5a37fdf01ed2ad413a6cc4b3c9de757b51a800"/>
    <w:p>
      <w:pPr>
        <w:pStyle w:val="Heading4"/>
      </w:pPr>
      <w:r>
        <w:t xml:space="preserve">Edit 5 — Add the publish/enrich arrows between PG layer and CDM</w:t>
      </w:r>
    </w:p>
    <w:p>
      <w:pPr>
        <w:pStyle w:val="FirstParagraph"/>
      </w:pPr>
      <w:r>
        <w:t xml:space="preserve">The diagram has implied connection between the PG layer and the TDVIP CDM workspace but no explicit arrows. Add two arrows: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Upward arrow:</w:t>
      </w:r>
      <w:r>
        <w:t xml:space="preserve"> </w:t>
      </w:r>
      <w:r>
        <w:t xml:space="preserve">from each</w:t>
      </w:r>
      <w:r>
        <w:t xml:space="preserve"> </w:t>
      </w:r>
      <w:r>
        <w:rPr>
          <w:rStyle w:val="VerbatimChar"/>
        </w:rPr>
        <w:t xml:space="preserve">&lt;pg&gt;.conformed</w:t>
      </w:r>
      <w:r>
        <w:t xml:space="preserve"> </w:t>
      </w:r>
      <w:r>
        <w:t xml:space="preserve">to TDVIP CDM, labelled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Publish to CDM (when of enterprise value)</w:t>
      </w:r>
      <w:r>
        <w:rPr>
          <w:iCs/>
          <w:i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Downward arrow:</w:t>
      </w:r>
      <w:r>
        <w:t xml:space="preserve"> </w:t>
      </w:r>
      <w:r>
        <w:t xml:space="preserve">from TDVIP CDM to each</w:t>
      </w:r>
      <w:r>
        <w:t xml:space="preserve"> </w:t>
      </w:r>
      <w:r>
        <w:rPr>
          <w:rStyle w:val="VerbatimChar"/>
        </w:rPr>
        <w:t xml:space="preserve">&lt;pg&gt;.conformed</w:t>
      </w:r>
      <w:r>
        <w:t xml:space="preserve">, labelled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Enrich CDM entities with Risk-specific attributes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These two arrows make the bidirectional flow explicit and match the locked architecture (CDM publishes down to PGs; PGs publish up to CDM).</w:t>
      </w:r>
    </w:p>
    <w:bookmarkEnd w:id="26"/>
    <w:bookmarkEnd w:id="27"/>
    <w:bookmarkStart w:id="28" w:name="estimated-edit-time"/>
    <w:p>
      <w:pPr>
        <w:pStyle w:val="Heading3"/>
      </w:pPr>
      <w:r>
        <w:t xml:space="preserve">Estimated edit time</w:t>
      </w:r>
    </w:p>
    <w:p>
      <w:pPr>
        <w:pStyle w:val="FirstParagraph"/>
      </w:pPr>
      <w:r>
        <w:rPr>
          <w:bCs/>
          <w:b/>
        </w:rPr>
        <w:t xml:space="preserve">5–10 minutes</w:t>
      </w:r>
      <w:r>
        <w:t xml:space="preserve"> </w:t>
      </w:r>
      <w:r>
        <w:t xml:space="preserve">in PowerPoint or whatever tool you used originally.</w:t>
      </w:r>
    </w:p>
    <w:p>
      <w:pPr>
        <w:pStyle w:val="BodyText"/>
      </w:pPr>
      <w:r>
        <w:t xml:space="preserve">After these edits, the diagram matches:</w:t>
      </w:r>
    </w:p>
    <w:p>
      <w:pPr>
        <w:numPr>
          <w:ilvl w:val="0"/>
          <w:numId w:val="1006"/>
        </w:numPr>
        <w:pStyle w:val="Compact"/>
      </w:pPr>
      <w:r>
        <w:t xml:space="preserve">The Pyramid v2 visual</w:t>
      </w:r>
    </w:p>
    <w:p>
      <w:pPr>
        <w:numPr>
          <w:ilvl w:val="0"/>
          <w:numId w:val="1006"/>
        </w:numPr>
        <w:pStyle w:val="Compact"/>
      </w:pPr>
      <w:r>
        <w:t xml:space="preserve">The Ownership Matrix Excel</w:t>
      </w:r>
    </w:p>
    <w:p>
      <w:pPr>
        <w:numPr>
          <w:ilvl w:val="0"/>
          <w:numId w:val="1006"/>
        </w:numPr>
        <w:pStyle w:val="Compact"/>
      </w:pPr>
      <w:r>
        <w:t xml:space="preserve">The Standards page (Section E)</w:t>
      </w:r>
    </w:p>
    <w:p>
      <w:pPr>
        <w:numPr>
          <w:ilvl w:val="0"/>
          <w:numId w:val="1006"/>
        </w:numPr>
        <w:pStyle w:val="Compact"/>
      </w:pPr>
      <w:r>
        <w:t xml:space="preserve">The Naming Convention Standard (authority at</w:t>
      </w:r>
      <w:r>
        <w:t xml:space="preserve"> </w:t>
      </w:r>
      <w:r>
        <w:rPr>
          <w:rStyle w:val="VerbatimChar"/>
        </w:rPr>
        <w:t xml:space="preserve">&lt;pg&gt;.conformed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The locked 4-layer architecture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2998a24acb005fb6840d6cdc45f4e0078bd5adb"/>
    <w:p>
      <w:pPr>
        <w:pStyle w:val="Heading2"/>
      </w:pPr>
      <w:r>
        <w:t xml:space="preserve">2. TDS Data Operating Model — Data Domains (</w:t>
      </w:r>
      <w:r>
        <w:rPr>
          <w:rStyle w:val="VerbatimChar"/>
        </w:rPr>
        <w:t xml:space="preserve">IMG_6211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The image:</w:t>
      </w:r>
      <w:r>
        <w:t xml:space="preserve"> </w:t>
      </w:r>
      <w:r>
        <w:t xml:space="preserve">12 numbered data-domain boxes (Pre-Trade, Post-Trade, Position, Payments, Derived Data and Metrics, Transactions, GL, Product/Instrument, Reference and Master Data, 3rd Party Market Data, Internal Pricing Data, Research).</w:t>
      </w:r>
    </w:p>
    <w:bookmarkStart w:id="30" w:name="feedback"/>
    <w:p>
      <w:pPr>
        <w:pStyle w:val="Heading3"/>
      </w:pPr>
      <w:r>
        <w:t xml:space="preserve">Feedback</w:t>
      </w:r>
    </w:p>
    <w:p>
      <w:pPr>
        <w:pStyle w:val="FirstParagraph"/>
      </w:pPr>
      <w:r>
        <w:rPr>
          <w:bCs/>
          <w:b/>
        </w:rPr>
        <w:t xml:space="preserve">No changes recommended.</w:t>
      </w:r>
      <w:r>
        <w:t xml:space="preserve"> </w:t>
      </w:r>
      <w:r>
        <w:t xml:space="preserve">This is CDM-level context — it shows how TDS’s enterprise CDM organises data domains. It’s useful as background but it’s not the Databricks operational view. Use it to ground where Risk’s PG-conformed schemas fit relative to the enterprise CDM. The Databricks Risk Operating Model diagram (item 1 above) is the operational view that needs editing.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e5a1e9b831adc98882966069aa3ec3bdfb5edae"/>
    <w:p>
      <w:pPr>
        <w:pStyle w:val="Heading2"/>
      </w:pPr>
      <w:r>
        <w:t xml:space="preserve">3. Operating Model Data Journey (Slide 2 of master deck)</w:t>
      </w:r>
    </w:p>
    <w:bookmarkStart w:id="32" w:name="status"/>
    <w:p>
      <w:pPr>
        <w:pStyle w:val="Heading3"/>
      </w:pPr>
      <w:r>
        <w:t xml:space="preserve">Status</w:t>
      </w:r>
    </w:p>
    <w:p>
      <w:pPr>
        <w:pStyle w:val="FirstParagraph"/>
      </w:pPr>
      <w:r>
        <w:rPr>
          <w:bCs/>
          <w:b/>
        </w:rPr>
        <w:t xml:space="preserve">Rebuilt — see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risk_data_visuals_changes.pptx</w:t>
      </w:r>
      <w:r>
        <w:t xml:space="preserve"> </w:t>
      </w:r>
      <w:r>
        <w:t xml:space="preserve">delivered earlier. The rebuilt slide replaces this original.</w:t>
      </w:r>
    </w:p>
    <w:bookmarkEnd w:id="32"/>
    <w:bookmarkStart w:id="33" w:name="what-was-changed-in-the-rebuild"/>
    <w:p>
      <w:pPr>
        <w:pStyle w:val="Heading3"/>
      </w:pPr>
      <w:r>
        <w:t xml:space="preserve">What was changed in the rebuild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Removed JSON from the Raw stage.</w:t>
      </w:r>
      <w:r>
        <w:t xml:space="preserve"> </w:t>
      </w:r>
      <w:r>
        <w:t xml:space="preserve">Raw shouldn’t show JSON — in your environment, raw is schema-typed at ingestion in Databricks, not unstructured JSON.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Made the ABC Bank counterparty example consistent across all six stages.</w:t>
      </w:r>
      <w:r>
        <w:t xml:space="preserve"> </w:t>
      </w:r>
      <w:r>
        <w:t xml:space="preserve">Each stage shows the same data evolving (Raw → Conformed → Curated → Data Product → Semantic Layer → Analytics) rather than different data per stage. This preserves the</w:t>
      </w:r>
      <w:r>
        <w:t xml:space="preserve"> </w:t>
      </w:r>
      <w:r>
        <w:t xml:space="preserve">“</w:t>
      </w:r>
      <w:r>
        <w:t xml:space="preserve">same data evolving</w:t>
      </w:r>
      <w:r>
        <w:t xml:space="preserve">”</w:t>
      </w:r>
      <w:r>
        <w:t xml:space="preserve"> </w:t>
      </w:r>
      <w:r>
        <w:t xml:space="preserve">message.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Tightened the per-stage substance.</w:t>
      </w:r>
      <w:r>
        <w:t xml:space="preserve"> </w:t>
      </w:r>
      <w:r>
        <w:t xml:space="preserve">Some stages were stronger on visuals than on substance; the rebuild balances both.</w:t>
      </w:r>
    </w:p>
    <w:bookmarkEnd w:id="33"/>
    <w:bookmarkStart w:id="34" w:name="what-to-do"/>
    <w:p>
      <w:pPr>
        <w:pStyle w:val="Heading3"/>
      </w:pPr>
      <w:r>
        <w:t xml:space="preserve">What to do</w:t>
      </w:r>
    </w:p>
    <w:p>
      <w:pPr>
        <w:pStyle w:val="FirstParagraph"/>
      </w:pPr>
      <w:r>
        <w:t xml:space="preserve">Use the rebuilt version from</w:t>
      </w:r>
      <w:r>
        <w:t xml:space="preserve"> </w:t>
      </w:r>
      <w:r>
        <w:rPr>
          <w:rStyle w:val="VerbatimChar"/>
        </w:rPr>
        <w:t xml:space="preserve">risk_data_visuals_changes.pptx</w:t>
      </w:r>
      <w:r>
        <w:t xml:space="preserve"> </w:t>
      </w:r>
      <w:r>
        <w:t xml:space="preserve">(Slide 2). The original is superseded.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714bb7ad36c2aee158a62a36d1eb05377c4b34c"/>
    <w:p>
      <w:pPr>
        <w:pStyle w:val="Heading2"/>
      </w:pPr>
      <w:r>
        <w:t xml:space="preserve">4. North Star Risk Data Journey (Slide 7 of master deck)</w:t>
      </w:r>
    </w:p>
    <w:bookmarkStart w:id="36" w:name="status-1"/>
    <w:p>
      <w:pPr>
        <w:pStyle w:val="Heading3"/>
      </w:pPr>
      <w:r>
        <w:t xml:space="preserve">Status</w:t>
      </w:r>
    </w:p>
    <w:p>
      <w:pPr>
        <w:pStyle w:val="FirstParagraph"/>
      </w:pPr>
      <w:r>
        <w:rPr>
          <w:bCs/>
          <w:b/>
        </w:rPr>
        <w:t xml:space="preserve">Rebuilt — see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risk_data_visuals_changes.pptx</w:t>
      </w:r>
      <w:r>
        <w:t xml:space="preserve"> </w:t>
      </w:r>
      <w:r>
        <w:t xml:space="preserve">(or the standalone</w:t>
      </w:r>
      <w:r>
        <w:t xml:space="preserve"> </w:t>
      </w:r>
      <w:r>
        <w:rPr>
          <w:rStyle w:val="VerbatimChar"/>
        </w:rPr>
        <w:t xml:space="preserve">north_star_visuals_v1.pptx</w:t>
      </w:r>
      <w:r>
        <w:t xml:space="preserve">).</w:t>
      </w:r>
    </w:p>
    <w:bookmarkEnd w:id="36"/>
    <w:bookmarkStart w:id="37" w:name="what-was-changed-in-the-rebuild-1"/>
    <w:p>
      <w:pPr>
        <w:pStyle w:val="Heading3"/>
      </w:pPr>
      <w:r>
        <w:t xml:space="preserve">What was changed in the rebuild</w:t>
      </w:r>
    </w:p>
    <w:p>
      <w:pPr>
        <w:pStyle w:val="FirstParagraph"/>
      </w:pPr>
      <w:r>
        <w:t xml:space="preserve">Specific bullets in the original used jargon that hadn’t been introduced yet for the North Star audience:</w:t>
      </w:r>
    </w:p>
    <w:p>
      <w:pPr>
        <w:numPr>
          <w:ilvl w:val="0"/>
          <w:numId w:val="1008"/>
        </w:numPr>
        <w:pStyle w:val="Compact"/>
      </w:pPr>
      <w:r>
        <w:t xml:space="preserve">Stage 1 said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hidden grain</w:t>
      </w:r>
      <w:r>
        <w:rPr>
          <w:iCs/>
          <w:i/>
        </w:rPr>
        <w:t xml:space="preserve">”</w:t>
      </w:r>
      <w:r>
        <w:t xml:space="preserve"> </w:t>
      </w:r>
      <w:r>
        <w:t xml:space="preserve">— but grain isn’t defined yet at this point</w:t>
      </w:r>
    </w:p>
    <w:p>
      <w:pPr>
        <w:numPr>
          <w:ilvl w:val="0"/>
          <w:numId w:val="1008"/>
        </w:numPr>
        <w:pStyle w:val="Compact"/>
      </w:pPr>
      <w:r>
        <w:t xml:space="preserve">Stage 3 said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modelled per the domain</w:t>
      </w:r>
      <w:r>
        <w:rPr>
          <w:iCs/>
          <w:i/>
        </w:rPr>
        <w:t xml:space="preserve">”</w:t>
      </w:r>
      <w:r>
        <w:t xml:space="preserve"> </w:t>
      </w:r>
      <w:r>
        <w:t xml:space="preserve">— but domain isn’t defined yet</w:t>
      </w:r>
    </w:p>
    <w:p>
      <w:pPr>
        <w:numPr>
          <w:ilvl w:val="0"/>
          <w:numId w:val="1008"/>
        </w:numPr>
        <w:pStyle w:val="Compact"/>
      </w:pPr>
      <w:r>
        <w:t xml:space="preserve">Stage 4 said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semantics embedded in contract</w:t>
      </w:r>
      <w:r>
        <w:rPr>
          <w:iCs/>
          <w:i/>
        </w:rPr>
        <w:t xml:space="preserve">”</w:t>
      </w:r>
      <w:r>
        <w:t xml:space="preserve"> </w:t>
      </w:r>
      <w:r>
        <w:t xml:space="preserve">— circular for someone who doesn’t know what semantics means</w:t>
      </w:r>
    </w:p>
    <w:p>
      <w:pPr>
        <w:numPr>
          <w:ilvl w:val="0"/>
          <w:numId w:val="1008"/>
        </w:numPr>
        <w:pStyle w:val="Compact"/>
      </w:pPr>
      <w:r>
        <w:t xml:space="preserve">Stage 5 said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aggregation rules enforced</w:t>
      </w:r>
      <w:r>
        <w:rPr>
          <w:iCs/>
          <w:i/>
        </w:rPr>
        <w:t xml:space="preserve">”</w:t>
      </w:r>
      <w:r>
        <w:t xml:space="preserve"> </w:t>
      </w:r>
      <w:r>
        <w:t xml:space="preserve">— too abstract; needed a concrete example</w:t>
      </w:r>
    </w:p>
    <w:p>
      <w:pPr>
        <w:numPr>
          <w:ilvl w:val="0"/>
          <w:numId w:val="1008"/>
        </w:numPr>
        <w:pStyle w:val="Compact"/>
      </w:pPr>
      <w:r>
        <w:t xml:space="preserve">Skip warnings used XVALA/CMOS technical mismatch as the example — too in-the-weeds for a North Star reader</w:t>
      </w:r>
    </w:p>
    <w:p>
      <w:pPr>
        <w:pStyle w:val="FirstParagraph"/>
      </w:pPr>
      <w:r>
        <w:t xml:space="preserve">The rebuild uses plain language throughout. Stage 5 became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Wrong queries are refused (e.g., adding numbers that shouldn’t be added)</w:t>
      </w:r>
      <w:r>
        <w:rPr>
          <w:iCs/>
          <w:i/>
        </w:rPr>
        <w:t xml:space="preserve">”</w:t>
      </w:r>
      <w:r>
        <w:t xml:space="preserve"> </w:t>
      </w:r>
      <w:r>
        <w:t xml:space="preserve">— concrete one-line example. Skip warnings reframed to consumer-impact language: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consumers reconcile manually / can’t trust what they’re getting / get wrong answers without realising.</w:t>
      </w:r>
      <w:r>
        <w:rPr>
          <w:iCs/>
          <w:i/>
        </w:rPr>
        <w:t xml:space="preserve">”</w:t>
      </w:r>
    </w:p>
    <w:bookmarkEnd w:id="37"/>
    <w:bookmarkStart w:id="38" w:name="what-to-do-1"/>
    <w:p>
      <w:pPr>
        <w:pStyle w:val="Heading3"/>
      </w:pPr>
      <w:r>
        <w:t xml:space="preserve">What to do</w:t>
      </w:r>
    </w:p>
    <w:p>
      <w:pPr>
        <w:pStyle w:val="FirstParagraph"/>
      </w:pPr>
      <w:r>
        <w:t xml:space="preserve">Use the rebuilt version. The original is superseded.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50aac3223916062994720189557f9fa37c4a616"/>
    <w:p>
      <w:pPr>
        <w:pStyle w:val="Heading2"/>
      </w:pPr>
      <w:r>
        <w:t xml:space="preserve">5. Persona / RASCI slide (Slide 10 of master deck)</w:t>
      </w:r>
    </w:p>
    <w:bookmarkStart w:id="40" w:name="status-2"/>
    <w:p>
      <w:pPr>
        <w:pStyle w:val="Heading3"/>
      </w:pPr>
      <w:r>
        <w:t xml:space="preserve">Status</w:t>
      </w:r>
    </w:p>
    <w:p>
      <w:pPr>
        <w:pStyle w:val="FirstParagraph"/>
      </w:pPr>
      <w:r>
        <w:rPr>
          <w:bCs/>
          <w:b/>
        </w:rPr>
        <w:t xml:space="preserve">Rebuilt — see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persona_current_state_v1.pptx</w:t>
      </w:r>
      <w:r>
        <w:t xml:space="preserve"> </w:t>
      </w:r>
      <w:r>
        <w:t xml:space="preserve">delivered earlier.</w:t>
      </w:r>
    </w:p>
    <w:bookmarkEnd w:id="40"/>
    <w:bookmarkStart w:id="41" w:name="what-was-changed-in-the-rebuild-2"/>
    <w:p>
      <w:pPr>
        <w:pStyle w:val="Heading3"/>
      </w:pPr>
      <w:r>
        <w:t xml:space="preserve">What was changed in the rebuild</w:t>
      </w:r>
    </w:p>
    <w:p>
      <w:pPr>
        <w:pStyle w:val="FirstParagraph"/>
      </w:pPr>
      <w:r>
        <w:t xml:space="preserve">The original slide had three issues: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DD box was solid dark green.</w:t>
      </w:r>
      <w:r>
        <w:t xml:space="preserve"> </w:t>
      </w:r>
      <w:r>
        <w:t xml:space="preserve">This signalled the DD as the dominant authority, which overpromised since the DD role is newly created and the scope is still being defined. The rebuild uses</w:t>
      </w:r>
      <w:r>
        <w:t xml:space="preserve"> </w:t>
      </w:r>
      <w:r>
        <w:rPr>
          <w:bCs/>
          <w:b/>
        </w:rPr>
        <w:t xml:space="preserve">lighter green</w:t>
      </w:r>
      <w:r>
        <w:t xml:space="preserve"> </w:t>
      </w:r>
      <w:r>
        <w:t xml:space="preserve">for the DD box, signalling an emerging role.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App Team box had items flagged red</w:t>
      </w:r>
      <w:r>
        <w:t xml:space="preserve"> </w:t>
      </w:r>
      <w:r>
        <w:t xml:space="preserve">(App schemas, App data products). The red flags read as criticisms of the App Team. The rebuild replaces red flags with a</w:t>
      </w:r>
      <w:r>
        <w:t xml:space="preserve"> </w:t>
      </w:r>
      <w:r>
        <w:rPr>
          <w:bCs/>
          <w:b/>
        </w:rPr>
        <w:t xml:space="preserve">single star marker</w:t>
      </w:r>
      <w:r>
        <w:t xml:space="preserve"> </w:t>
      </w:r>
      <w:r>
        <w:t xml:space="preserve">meaning</w:t>
      </w:r>
      <w:r>
        <w:t xml:space="preserve"> </w:t>
      </w:r>
      <w:r>
        <w:t xml:space="preserve">“</w:t>
      </w:r>
      <w:r>
        <w:t xml:space="preserve">coordination point with DD</w:t>
      </w:r>
      <w:r>
        <w:t xml:space="preserve">”</w:t>
      </w:r>
      <w:r>
        <w:t xml:space="preserve"> </w:t>
      </w:r>
      <w:r>
        <w:t xml:space="preserve">— neutral, not critical.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Subtitle said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Industry-standard federated model.</w:t>
      </w:r>
      <w:r>
        <w:rPr>
          <w:bCs/>
          <w:b/>
        </w:rPr>
        <w:t xml:space="preserve">”</w:t>
      </w:r>
      <w:r>
        <w:t xml:space="preserve"> </w:t>
      </w:r>
      <w:r>
        <w:t xml:space="preserve">That’s a target-state claim on a current-state slide. The rebuild removes the target-state language and describes the current state.</w:t>
      </w:r>
    </w:p>
    <w:p>
      <w:pPr>
        <w:pStyle w:val="FirstParagraph"/>
      </w:pPr>
      <w:r>
        <w:t xml:space="preserve">The DD scope on the rebuilt slide describes only the actual current scope — architecture &amp; design, templates, convener role, strategy sharing — not an aspirational scope.</w:t>
      </w:r>
    </w:p>
    <w:bookmarkEnd w:id="41"/>
    <w:bookmarkStart w:id="42" w:name="what-to-do-2"/>
    <w:p>
      <w:pPr>
        <w:pStyle w:val="Heading3"/>
      </w:pPr>
      <w:r>
        <w:t xml:space="preserve">What to do</w:t>
      </w:r>
    </w:p>
    <w:p>
      <w:pPr>
        <w:pStyle w:val="FirstParagraph"/>
      </w:pPr>
      <w:r>
        <w:t xml:space="preserve">Use the rebuilt version. The original is superseded.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Xb44af753b98078ec3455b63874ad198c4479782"/>
    <w:p>
      <w:pPr>
        <w:pStyle w:val="Heading2"/>
      </w:pPr>
      <w:r>
        <w:t xml:space="preserve">6. Confluence page screenshots (rendering issues)</w:t>
      </w:r>
    </w:p>
    <w:bookmarkStart w:id="44" w:name="status-3"/>
    <w:p>
      <w:pPr>
        <w:pStyle w:val="Heading3"/>
      </w:pPr>
      <w:r>
        <w:t xml:space="preserve">Status</w:t>
      </w:r>
    </w:p>
    <w:p>
      <w:pPr>
        <w:pStyle w:val="FirstParagraph"/>
      </w:pPr>
      <w:r>
        <w:rPr>
          <w:bCs/>
          <w:b/>
        </w:rPr>
        <w:t xml:space="preserve">Resolved in v3, v4, and v5 of the standards page content.</w:t>
      </w:r>
    </w:p>
    <w:bookmarkEnd w:id="44"/>
    <w:bookmarkStart w:id="45" w:name="what-was-flagged"/>
    <w:p>
      <w:pPr>
        <w:pStyle w:val="Heading3"/>
      </w:pPr>
      <w:r>
        <w:t xml:space="preserve">What was flagged</w:t>
      </w:r>
    </w:p>
    <w:p>
      <w:pPr>
        <w:pStyle w:val="FirstParagraph"/>
      </w:pPr>
      <w:r>
        <w:t xml:space="preserve">You uploaded screenshots of Confluence pages you’d published, and the markdown-to-Confluence paste had rendering issues: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Breadcrumb italic lines</w:t>
      </w:r>
      <w:r>
        <w:t xml:space="preserve"> </w:t>
      </w:r>
      <w:r>
        <w:t xml:space="preserve">at the top of each page were redundant with Confluence’s native breadcrumb — should be deleted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Page purpose / Read this if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blockquotes</w:t>
      </w:r>
      <w:r>
        <w:t xml:space="preserve"> </w:t>
      </w:r>
      <w:r>
        <w:t xml:space="preserve">came through as plain greyed text — should be converted to Confluence</w:t>
      </w:r>
      <w:r>
        <w:t xml:space="preserve"> </w:t>
      </w:r>
      <w:r>
        <w:rPr>
          <w:rStyle w:val="VerbatimChar"/>
        </w:rPr>
        <w:t xml:space="preserve">/info</w:t>
      </w:r>
      <w:r>
        <w:t xml:space="preserve"> </w:t>
      </w:r>
      <w:r>
        <w:t xml:space="preserve">panels or deleted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[/toc]</w:t>
      </w:r>
      <w:r>
        <w:t xml:space="preserve"> </w:t>
      </w:r>
      <w:r>
        <w:rPr>
          <w:bCs/>
          <w:b/>
        </w:rPr>
        <w:t xml:space="preserve">placeholders</w:t>
      </w:r>
      <w:r>
        <w:t xml:space="preserve"> </w:t>
      </w:r>
      <w:r>
        <w:t xml:space="preserve">needed to be replaced with the actual</w:t>
      </w:r>
      <w:r>
        <w:t xml:space="preserve"> </w:t>
      </w:r>
      <w:r>
        <w:rPr>
          <w:rStyle w:val="VerbatimChar"/>
        </w:rPr>
        <w:t xml:space="preserve">/toc</w:t>
      </w:r>
      <w:r>
        <w:t xml:space="preserve"> </w:t>
      </w:r>
      <w:r>
        <w:t xml:space="preserve">macro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By [author] · [n] min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metadata line</w:t>
      </w:r>
      <w:r>
        <w:t xml:space="preserve"> </w:t>
      </w:r>
      <w:r>
        <w:t xml:space="preserve">couldn’t be removed by content edit (Confluence shows it automatically — accept this)</w:t>
      </w:r>
    </w:p>
    <w:bookmarkEnd w:id="45"/>
    <w:bookmarkStart w:id="46" w:name="what-to-do-3"/>
    <w:p>
      <w:pPr>
        <w:pStyle w:val="Heading3"/>
      </w:pPr>
      <w:r>
        <w:t xml:space="preserve">What to do</w:t>
      </w:r>
    </w:p>
    <w:p>
      <w:pPr>
        <w:pStyle w:val="FirstParagraph"/>
      </w:pPr>
      <w:r>
        <w:t xml:space="preserve">The rewritten v3, v4, and v5 markdown files strip all of these meta-language items at source, so paste-in is clean. Use the v5 standards page and the v2 roles &amp; responsibilities page that have been delivered. No further action needed unless you re-paste old content.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pyramid-v1-edited-screenshot"/>
    <w:p>
      <w:pPr>
        <w:pStyle w:val="Heading2"/>
      </w:pPr>
      <w:r>
        <w:t xml:space="preserve">7. Pyramid v1 edited screenshot</w:t>
      </w:r>
    </w:p>
    <w:bookmarkStart w:id="48" w:name="status-4"/>
    <w:p>
      <w:pPr>
        <w:pStyle w:val="Heading3"/>
      </w:pPr>
      <w:r>
        <w:t xml:space="preserve">Status</w:t>
      </w:r>
    </w:p>
    <w:p>
      <w:pPr>
        <w:pStyle w:val="FirstParagraph"/>
      </w:pPr>
      <w:r>
        <w:rPr>
          <w:bCs/>
          <w:b/>
        </w:rPr>
        <w:t xml:space="preserve">Rebuilt as Pyramid v2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risk_data_pyramid_v2.pptx</w:t>
      </w:r>
      <w:r>
        <w:t xml:space="preserve"> </w:t>
      </w:r>
      <w:r>
        <w:t xml:space="preserve">delivered earlier.</w:t>
      </w:r>
    </w:p>
    <w:bookmarkEnd w:id="48"/>
    <w:bookmarkStart w:id="49" w:name="what-was-changed"/>
    <w:p>
      <w:pPr>
        <w:pStyle w:val="Heading3"/>
      </w:pPr>
      <w:r>
        <w:t xml:space="preserve">What was changed</w:t>
      </w:r>
    </w:p>
    <w:p>
      <w:pPr>
        <w:pStyle w:val="FirstParagraph"/>
      </w:pPr>
      <w:r>
        <w:t xml:space="preserve">The original pyramid had each layer built from 8+ stacked text boxes per layer, which broke when you tried to edit. The v2 rebuild uses:</w:t>
      </w:r>
    </w:p>
    <w:p>
      <w:pPr>
        <w:numPr>
          <w:ilvl w:val="0"/>
          <w:numId w:val="101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native PowerPoint table</w:t>
      </w:r>
      <w:r>
        <w:t xml:space="preserve"> </w:t>
      </w:r>
      <w:r>
        <w:t xml:space="preserve">where each layer is one editable cell</w:t>
      </w:r>
    </w:p>
    <w:p>
      <w:pPr>
        <w:numPr>
          <w:ilvl w:val="0"/>
          <w:numId w:val="1011"/>
        </w:numPr>
        <w:pStyle w:val="Compact"/>
      </w:pPr>
      <w:r>
        <w:t xml:space="preserve">A few simple text boxes for the surrounding labels</w:t>
      </w:r>
    </w:p>
    <w:p>
      <w:pPr>
        <w:numPr>
          <w:ilvl w:val="0"/>
          <w:numId w:val="1011"/>
        </w:numPr>
        <w:pStyle w:val="Compact"/>
      </w:pPr>
      <w:r>
        <w:t xml:space="preserve">Native PowerPoint arrow shapes for the publish/enrich arrows</w:t>
      </w:r>
    </w:p>
    <w:p>
      <w:pPr>
        <w:pStyle w:val="FirstParagraph"/>
      </w:pPr>
      <w:r>
        <w:t xml:space="preserve">This went from 50+ selectable objects in v1 to ~10 in v2, with editing the layer text as easy as editing an Excel cell.</w:t>
      </w:r>
    </w:p>
    <w:bookmarkEnd w:id="49"/>
    <w:bookmarkStart w:id="50" w:name="what-to-do-4"/>
    <w:p>
      <w:pPr>
        <w:pStyle w:val="Heading3"/>
      </w:pPr>
      <w:r>
        <w:t xml:space="preserve">What to do</w:t>
      </w:r>
    </w:p>
    <w:p>
      <w:pPr>
        <w:pStyle w:val="FirstParagraph"/>
      </w:pPr>
      <w:r>
        <w:t xml:space="preserve">Use v2. The build pattern (native tables + simple text boxes + native arrows) is the pattern I followed for every subsequent visual in the session.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summary-whats-still-on-your-plate"/>
    <w:p>
      <w:pPr>
        <w:pStyle w:val="Heading2"/>
      </w:pPr>
      <w:r>
        <w:t xml:space="preserve">Summary — what’s still on your plate</w:t>
      </w:r>
    </w:p>
    <w:p>
      <w:pPr>
        <w:pStyle w:val="FirstParagraph"/>
      </w:pPr>
      <w:r>
        <w:t xml:space="preserve">Only one image needs your editing attention:</w:t>
      </w:r>
    </w:p>
    <w:p>
      <w:pPr>
        <w:pStyle w:val="BodyText"/>
      </w:pPr>
      <w:r>
        <w:rPr>
          <w:bCs/>
          <w:b/>
        </w:rPr>
        <w:t xml:space="preserve">Databricks Risk Operating Model diagram (</w:t>
      </w:r>
      <w:r>
        <w:rPr>
          <w:rStyle w:val="VerbatimChar"/>
          <w:bCs/>
          <w:b/>
        </w:rPr>
        <w:t xml:space="preserve">IMG_6213</w:t>
      </w:r>
      <w:r>
        <w:rPr>
          <w:bCs/>
          <w:b/>
        </w:rPr>
        <w:t xml:space="preserve">)</w:t>
      </w:r>
      <w:r>
        <w:t xml:space="preserve"> </w:t>
      </w:r>
      <w:r>
        <w:t xml:space="preserve">— five edits described under item 1 above. Five to ten minutes of work.</w:t>
      </w:r>
    </w:p>
    <w:p>
      <w:pPr>
        <w:pStyle w:val="BodyText"/>
      </w:pPr>
      <w:r>
        <w:t xml:space="preserve">Everything else either didn’t need changes or has been rebuilt and delivered as a new file. The rebuilt files are all in</w:t>
      </w:r>
      <w:r>
        <w:t xml:space="preserve"> </w:t>
      </w:r>
      <w:r>
        <w:rPr>
          <w:rStyle w:val="VerbatimChar"/>
        </w:rPr>
        <w:t xml:space="preserve">/mnt/user-data/outputs/</w:t>
      </w:r>
      <w:r>
        <w:t xml:space="preserve"> </w:t>
      </w:r>
      <w:r>
        <w:t xml:space="preserve">from earlier in the session: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risk_data_visuals_changes.pptx</w:t>
      </w:r>
      <w:r>
        <w:t xml:space="preserve"> </w:t>
      </w:r>
      <w:r>
        <w:t xml:space="preserve">— corrected Slide 2, Slide 7, and the TDS vs Industry matrix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persona_current_state_v1.pptx</w:t>
      </w:r>
      <w:r>
        <w:t xml:space="preserve"> </w:t>
      </w:r>
      <w:r>
        <w:t xml:space="preserve">— corrected Slide 10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north_star_visuals_v1.pptx</w:t>
      </w:r>
      <w:r>
        <w:t xml:space="preserve"> </w:t>
      </w:r>
      <w:r>
        <w:t xml:space="preserve">— North Star visuals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risk_data_pyramid_v2.pptx</w:t>
      </w:r>
      <w:r>
        <w:t xml:space="preserve"> </w:t>
      </w:r>
      <w:r>
        <w:t xml:space="preserve">— pyramid v2</w:t>
      </w:r>
    </w:p>
    <w:p>
      <w:r>
        <w:pict>
          <v:rect style="width:0;height:1.5pt" o:hralign="center" o:hrstd="t" o:hr="t"/>
        </w:pic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2026-05-13T14:57:32Z</dcterms:created>
  <dcterms:modified xsi:type="dcterms:W3CDTF">2026-05-13T14:57:32Z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