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jc w:val="center"/>
      </w:pPr>
      <w:r>
        <w:rPr>
          <w:b/>
          <w:bCs/>
          <w:color w:val="1F4E78"/>
          <w:sz w:val="36"/>
          <w:szCs w:val="36"/>
        </w:rPr>
        <w:t xml:space="preserve">Unity Catalog Metadata — DDL, COMMENTs, and Tags</w:t>
      </w:r>
    </w:p>
    <w:p>
      <w:pPr>
        <w:spacing w:after="280"/>
        <w:jc w:val="center"/>
      </w:pPr>
      <w:r>
        <w:rPr>
          <w:i/>
          <w:iCs/>
          <w:color w:val="595959"/>
          <w:sz w:val="24"/>
          <w:szCs w:val="24"/>
        </w:rPr>
        <w:t xml:space="preserve">A short guide to where metadata belongs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24"/>
              <w:bottom w:val="single" w:color="E0A030" w:sz="4"/>
              <w:right w:val="single" w:color="E0A030" w:sz="4"/>
            </w:tcBorders>
            <w:shd w:fill="FFF4CE" w:color="auto" w:val="clear"/>
            <w:tcMar>
              <w:top w:type="dxa" w:w="160"/>
              <w:left w:type="dxa" w:w="200"/>
              <w:bottom w:type="dxa" w:w="160"/>
              <w:right w:type="dxa" w:w="200"/>
            </w:tcMar>
          </w:tcPr>
          <w:p>
            <w:r>
              <w:rPr>
                <w:b/>
                <w:bCs/>
                <w:color w:val="664D03"/>
                <w:sz w:val="24"/>
                <w:szCs w:val="24"/>
              </w:rPr>
              <w:t xml:space="preserve">DDL drives structural queries · Tags drive policy and discovery queries · COMMENTs are for human reading</w:t>
            </w:r>
          </w:p>
        </w:tc>
      </w:tr>
    </w:tbl>
    <w:p>
      <w:pPr>
        <w:spacing w:after="200"/>
      </w:pPr>
      <w:r>
        <w:t xml:space="preserve"> </w:t>
      </w:r>
    </w:p>
    <w:p>
      <w:pPr>
        <w:pStyle w:val="Heading1"/>
        <w:spacing w:after="140" w:before="280"/>
      </w:pPr>
      <w:r>
        <w:rPr>
          <w:b/>
          <w:bCs/>
          <w:color w:val="1F4E78"/>
          <w:sz w:val="32"/>
          <w:szCs w:val="32"/>
        </w:rPr>
        <w:t xml:space="preserve">Why three mechanisms, not one</w:t>
      </w:r>
    </w:p>
    <w:p>
      <w:pPr>
        <w:spacing w:after="80" w:before="80"/>
      </w:pPr>
      <w:r>
        <w:t xml:space="preserve">Every table in Databricks carries metadata in three distinct mechanisms. They are not interchangeable. Putting metadata in the wrong mechanism is the most common failure mode in catalog hygiene — it leads to queries that are brittle or impossible, descriptions buried in tags, and structural truth scattered across free-text fields. The discipline is to put each piece of metadata where it can do the job it's meant to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2"/>
                <w:szCs w:val="22"/>
              </w:rPr>
              <w:t xml:space="preserve">Mechanism</w:t>
            </w:r>
          </w:p>
        </w:tc>
        <w:tc>
          <w:tcPr>
            <w:tcW w:type="dxa" w:w="32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2"/>
                <w:szCs w:val="22"/>
              </w:rPr>
              <w:t xml:space="preserve">What it carries</w:t>
            </w:r>
          </w:p>
        </w:tc>
        <w:tc>
          <w:tcPr>
            <w:tcW w:type="dxa" w:w="44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2"/>
                <w:szCs w:val="22"/>
              </w:rPr>
              <w:t xml:space="preserve">What it's for</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DDL</w:t>
            </w:r>
          </w:p>
          <w:p>
            <w:r>
              <w:rPr>
                <w:sz w:val="20"/>
                <w:szCs w:val="20"/>
              </w:rPr>
              <w:t xml:space="preserve">(CREATE TABLE)</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Data types, NOT NULL, DEFAULT, PRIMARY KEY, FOREIGN KEY, CHECK constraints, column masks</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Structural truth. Enforced at write time (for NOT NULL, CHECK, DEFAULT). Declarative but tracked (for PK, FK). Queryable via information_schema. Consumed by BI tools, semantic layers, ERD generators.</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COMMENT</w:t>
            </w:r>
          </w:p>
          <w:p>
            <w:r>
              <w:rPr>
                <w:sz w:val="20"/>
                <w:szCs w:val="20"/>
              </w:rPr>
              <w:t xml:space="preserve">(COMMENT ON TABLE / COLUMN)</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 descriptions, units, aggregation rules, notes, examples</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Human reading. Free-text prose. Surfaces in Catalog Explorer, dbt docs, Collibra, and lineage views. This is what people read when discovering data.</w:t>
            </w:r>
          </w:p>
        </w:tc>
      </w:tr>
      <w:tr>
        <w:tc>
          <w:tcPr>
            <w:tcW w:type="dxa" w:w="17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TAG</w:t>
            </w:r>
          </w:p>
          <w:p>
            <w:r>
              <w:rPr>
                <w:sz w:val="20"/>
                <w:szCs w:val="20"/>
              </w:rPr>
              <w:t xml:space="preserve">(ALTER ... SET TAGS)</w:t>
            </w:r>
          </w:p>
        </w:tc>
        <w:tc>
          <w:tcPr>
            <w:tcW w:type="dxa" w:w="32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Short structured key-value pairs that drive automation</w:t>
            </w:r>
          </w:p>
        </w:tc>
        <w:tc>
          <w:tcPr>
            <w:tcW w:type="dxa" w:w="44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Filtering, policy, discovery. ABAC policies key off tags. Catalog search filters by tags. Cost reports roll up by tags. Compliance reports query by tags.</w:t>
            </w:r>
          </w:p>
        </w:tc>
      </w:tr>
    </w:tbl>
    <w:p>
      <w:pPr>
        <w:pStyle w:val="Heading1"/>
        <w:spacing w:after="140" w:before="280"/>
      </w:pPr>
      <w:r>
        <w:rPr>
          <w:b/>
          <w:bCs/>
          <w:color w:val="1F4E78"/>
          <w:sz w:val="32"/>
          <w:szCs w:val="32"/>
        </w:rPr>
        <w:t xml:space="preserve">Purpose of tags, specifically</w:t>
      </w:r>
    </w:p>
    <w:p>
      <w:pPr>
        <w:spacing w:after="80" w:before="80"/>
      </w:pPr>
      <w:r>
        <w:t xml:space="preserve">Tags are not for documentation. They are not for descriptions. They are for things you want to query, filter, or policy against. The right test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24"/>
              <w:bottom w:val="single" w:color="E0A030" w:sz="4"/>
              <w:right w:val="single" w:color="E0A030" w:sz="4"/>
            </w:tcBorders>
            <w:shd w:fill="FFF4CE" w:color="auto" w:val="clear"/>
            <w:tcMar>
              <w:top w:type="dxa" w:w="160"/>
              <w:left w:type="dxa" w:w="200"/>
              <w:bottom w:type="dxa" w:w="160"/>
              <w:right w:type="dxa" w:w="200"/>
            </w:tcMar>
          </w:tcPr>
          <w:p>
            <w:r>
              <w:rPr>
                <w:b/>
                <w:bCs/>
                <w:color w:val="664D03"/>
                <w:sz w:val="24"/>
                <w:szCs w:val="24"/>
              </w:rPr>
              <w:t xml:space="preserve">Will someone, somewhere, run a query like WHERE tag = X — or write a policy that references this attribute? If no, it should not be a tag. Make it a COMMENT.</w:t>
            </w:r>
          </w:p>
        </w:tc>
      </w:tr>
    </w:tbl>
    <w:p>
      <w:pPr>
        <w:spacing w:after="160"/>
      </w:pPr>
      <w:r>
        <w:t xml:space="preserve"> </w:t>
      </w:r>
    </w:p>
    <w:p>
      <w:pPr>
        <w:spacing w:after="80" w:before="80"/>
      </w:pPr>
      <w:r>
        <w:t xml:space="preserve">Typical things tags drive:</w:t>
      </w:r>
    </w:p>
    <w:p>
      <w:pPr>
        <w:pStyle w:val="ListParagraph"/>
        <w:numPr>
          <w:ilvl w:val="0"/>
          <w:numId w:val="2"/>
        </w:numPr>
        <w:spacing w:after="40" w:before="40"/>
      </w:pPr>
      <w:r>
        <w:rPr>
          <w:sz w:val="22"/>
          <w:szCs w:val="22"/>
        </w:rPr>
        <w:t xml:space="preserve">Column masking — a class.pii tag triggers a masking function via ABAC, automatically obscuring PII for users without the right role</w:t>
      </w:r>
    </w:p>
    <w:p>
      <w:pPr>
        <w:pStyle w:val="ListParagraph"/>
        <w:numPr>
          <w:ilvl w:val="0"/>
          <w:numId w:val="2"/>
        </w:numPr>
        <w:spacing w:after="40" w:before="40"/>
      </w:pPr>
      <w:r>
        <w:rPr>
          <w:sz w:val="22"/>
          <w:szCs w:val="22"/>
        </w:rPr>
        <w:t xml:space="preserve">Marketplace navigation — a capability tag lets the catalog organize products by business capability (Collateral Management, Liquidity &amp; Funding Risk, etc.)</w:t>
      </w:r>
    </w:p>
    <w:p>
      <w:pPr>
        <w:pStyle w:val="ListParagraph"/>
        <w:numPr>
          <w:ilvl w:val="0"/>
          <w:numId w:val="2"/>
        </w:numPr>
        <w:spacing w:after="40" w:before="40"/>
      </w:pPr>
      <w:r>
        <w:rPr>
          <w:sz w:val="22"/>
          <w:szCs w:val="22"/>
        </w:rPr>
        <w:t xml:space="preserve">Compliance reporting — every column tagged class.pii = true can be inventoried in one query</w:t>
      </w:r>
    </w:p>
    <w:p>
      <w:pPr>
        <w:pStyle w:val="ListParagraph"/>
        <w:numPr>
          <w:ilvl w:val="0"/>
          <w:numId w:val="2"/>
        </w:numPr>
        <w:spacing w:after="40" w:before="40"/>
      </w:pPr>
      <w:r>
        <w:rPr>
          <w:sz w:val="22"/>
          <w:szCs w:val="22"/>
        </w:rPr>
        <w:t xml:space="preserve">Cost attribution — tags by team or business unit let cost reports roll up by ownership</w:t>
      </w:r>
    </w:p>
    <w:p>
      <w:pPr>
        <w:pStyle w:val="ListParagraph"/>
        <w:numPr>
          <w:ilvl w:val="0"/>
          <w:numId w:val="2"/>
        </w:numPr>
        <w:spacing w:after="40" w:before="40"/>
      </w:pPr>
      <w:r>
        <w:rPr>
          <w:sz w:val="22"/>
          <w:szCs w:val="22"/>
        </w:rPr>
        <w:t xml:space="preserve">Lifecycle automation — a status = deprecated tag triggers consumer notifications and eventual sunsetting</w:t>
      </w:r>
    </w:p>
    <w:p>
      <w:pPr>
        <w:pStyle w:val="Heading1"/>
        <w:spacing w:after="140" w:before="280"/>
      </w:pPr>
      <w:r>
        <w:rPr>
          <w:b/>
          <w:bCs/>
          <w:color w:val="1F4E78"/>
          <w:sz w:val="32"/>
          <w:szCs w:val="32"/>
        </w:rPr>
        <w:t xml:space="preserve">How and when tags are used</w:t>
      </w:r>
    </w:p>
    <w:p>
      <w:pPr>
        <w:pStyle w:val="Heading2"/>
        <w:spacing w:after="110" w:before="220"/>
      </w:pPr>
      <w:r>
        <w:rPr>
          <w:b/>
          <w:bCs/>
          <w:color w:val="1F4E78"/>
          <w:sz w:val="26"/>
          <w:szCs w:val="26"/>
        </w:rPr>
        <w:t xml:space="preserve">Tag naming — dotted namespaces</w:t>
      </w:r>
    </w:p>
    <w:p>
      <w:pPr>
        <w:spacing w:after="80" w:before="80"/>
      </w:pPr>
      <w:r>
        <w:t xml:space="preserve">Tag keys follow a dotted-namespace convention: namespace.subkey. This is the industry-standard pattern (Databricks's own system tags use it — class.email_address, class.credit_card, class.pii). Short, grouped, and easy to search by namespace.</w:t>
      </w:r>
    </w:p>
    <w:p>
      <w:pPr>
        <w:spacing w:after="80" w:before="80"/>
      </w:pPr>
      <w:r>
        <w:t xml:space="preserve">The namespaces in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4560"/>
      </w:tblGrid>
      <w:tr>
        <w:trPr>
          <w:tblHeader/>
        </w:trPr>
        <w:tc>
          <w:tcPr>
            <w:tcW w:type="dxa" w:w="18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2"/>
                <w:szCs w:val="22"/>
              </w:rPr>
              <w:t xml:space="preserve">Namespace</w:t>
            </w:r>
          </w:p>
        </w:tc>
        <w:tc>
          <w:tcPr>
            <w:tcW w:type="dxa" w:w="300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2"/>
                <w:szCs w:val="22"/>
              </w:rPr>
              <w:t xml:space="preserve">Purpose</w:t>
            </w:r>
          </w:p>
        </w:tc>
        <w:tc>
          <w:tcPr>
            <w:tcW w:type="dxa" w:w="4560"/>
            <w:tcBorders>
              <w:top w:val="single" w:color="BFBFBF" w:sz="4"/>
              <w:left w:val="single" w:color="BFBFBF" w:sz="4"/>
              <w:bottom w:val="single" w:color="BFBFBF" w:sz="4"/>
              <w:right w:val="single" w:color="BFBFBF" w:sz="4"/>
            </w:tcBorders>
            <w:shd w:fill="1F4E78" w:color="auto" w:val="clear"/>
            <w:tcMar>
              <w:top w:type="dxa" w:w="100"/>
              <w:left w:type="dxa" w:w="140"/>
              <w:bottom w:type="dxa" w:w="100"/>
              <w:right w:type="dxa" w:w="140"/>
            </w:tcMar>
            <w:vAlign w:val="center"/>
          </w:tcPr>
          <w:p>
            <w:r>
              <w:rPr>
                <w:b/>
                <w:bCs/>
                <w:color w:val="FFFFFF"/>
                <w:sz w:val="22"/>
                <w:szCs w:val="22"/>
              </w:rPr>
              <w:t xml:space="preserve">Examples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class.*</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Classification and sensitivity</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class.pii, class.sensitivity, class.email_address</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owner.*</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Ownership and contacts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owner.business, owner.technical, owner.email</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source.*</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Producer-side metadata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source.app, source.domain, source.owner, source.pattern</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 artifacts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contract.version, contract.changed, contract.ref</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refresh.*</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Operational refresh metadata</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refresh.freq, refresh.sla</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glossary.*</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Business glossary references</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glossary.term</w:t>
            </w:r>
          </w:p>
        </w:tc>
      </w:tr>
      <w:tr>
        <w:tc>
          <w:tcPr>
            <w:tcW w:type="dxa" w:w="18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(top-level)</w:t>
            </w:r>
          </w:p>
        </w:tc>
        <w:tc>
          <w:tcPr>
            <w:tcW w:type="dxa" w:w="300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Universal cross-cutting</w:t>
            </w:r>
          </w:p>
        </w:tc>
        <w:tc>
          <w:tcPr>
            <w:tcW w:type="dxa" w:w="4560"/>
            <w:tcBorders>
              <w:top w:val="single" w:color="BFBFBF" w:sz="4"/>
              <w:left w:val="single" w:color="BFBFBF" w:sz="4"/>
              <w:bottom w:val="single" w:color="BFBFBF" w:sz="4"/>
              <w:right w:val="single" w:color="BFBFBF" w:sz="4"/>
            </w:tcBorders>
            <w:tcMar>
              <w:top w:type="dxa" w:w="100"/>
              <w:left w:type="dxa" w:w="140"/>
              <w:bottom w:type="dxa" w:w="100"/>
              <w:right w:type="dxa" w:w="140"/>
            </w:tcMar>
            <w:vAlign w:val="top"/>
          </w:tcPr>
          <w:p>
            <w:r>
              <w:rPr>
                <w:sz w:val="20"/>
                <w:szCs w:val="20"/>
              </w:rPr>
              <w:t xml:space="preserve">capability, archetype, status, shape</w:t>
            </w:r>
          </w:p>
        </w:tc>
      </w:tr>
    </w:tbl>
    <w:p>
      <w:pPr>
        <w:pStyle w:val="Heading2"/>
        <w:spacing w:after="110" w:before="220"/>
      </w:pPr>
      <w:r>
        <w:rPr>
          <w:b/>
          <w:bCs/>
          <w:color w:val="1F4E78"/>
          <w:sz w:val="26"/>
          <w:szCs w:val="26"/>
        </w:rPr>
        <w:t xml:space="preserve">Tag burden — app layer vs product layer</w:t>
      </w:r>
    </w:p>
    <w:p>
      <w:pPr>
        <w:spacing w:after="80" w:before="80"/>
      </w:pPr>
      <w:r>
        <w:t xml:space="preserve">Two clearly different populations of tables have different metadata burdens, because they serve different purposes.</w:t>
      </w:r>
    </w:p>
    <w:p>
      <w:pPr>
        <w:spacing w:after="80" w:before="80"/>
      </w:pPr>
      <w:r>
        <w:t xml:space="preserve">App-layer tables — in producer catalogs like credit_risk.cmos, market_risk.vs — carry a minimal set of around 8 table-level tags. App owners are responsible for these. The set is operational: source, owner, sensitivity, status. App owners do not author contract, capability, archetype, or refresh-SLA tags — those are product-layer concerns.</w:t>
      </w:r>
    </w:p>
    <w:p>
      <w:pPr>
        <w:spacing w:after="80" w:before="80"/>
      </w:pPr>
      <w:r>
        <w:t xml:space="preserve">Product-layer tables — in risk_warehouse.products — carry around 18 table-level tags, including everything from the app layer plus contract-specific tags. Several are inherited from the upstream app automatically by CI (source.app, source.domain, class.sensitivity, class.pii) rather than re-authored. The product owner authors only what is genuinely product-layer: capability, archetype, business ownership, contract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24"/>
              <w:bottom w:val="single" w:color="E0A030" w:sz="4"/>
              <w:right w:val="single" w:color="E0A030" w:sz="4"/>
            </w:tcBorders>
            <w:shd w:fill="FFF4CE" w:color="auto" w:val="clear"/>
            <w:tcMar>
              <w:top w:type="dxa" w:w="160"/>
              <w:left w:type="dxa" w:w="200"/>
              <w:bottom w:type="dxa" w:w="160"/>
              <w:right w:type="dxa" w:w="200"/>
            </w:tcMar>
          </w:tcPr>
          <w:p>
            <w:r>
              <w:rPr>
                <w:b/>
                <w:bCs/>
                <w:color w:val="664D03"/>
                <w:sz w:val="24"/>
                <w:szCs w:val="24"/>
              </w:rPr>
              <w:t xml:space="preserve">Only products get the full tag set. App tables stay light. The contract layer is what justifies the additional metadata.</w:t>
            </w:r>
          </w:p>
        </w:tc>
      </w:tr>
    </w:tbl>
    <w:p>
      <w:pPr>
        <w:spacing w:after="160"/>
      </w:pPr>
      <w:r>
        <w:t xml:space="preserve"> </w:t>
      </w:r>
    </w:p>
    <w:p>
      <w:pPr>
        <w:pStyle w:val="Heading2"/>
        <w:spacing w:after="110" w:before="220"/>
      </w:pPr>
      <w:r>
        <w:rPr>
          <w:b/>
          <w:bCs/>
          <w:color w:val="1F4E78"/>
          <w:sz w:val="26"/>
          <w:szCs w:val="26"/>
        </w:rPr>
        <w:t xml:space="preserve">Tag burden — column level</w:t>
      </w:r>
    </w:p>
    <w:p>
      <w:pPr>
        <w:spacing w:after="80" w:before="80"/>
      </w:pPr>
      <w:r>
        <w:t xml:space="preserve">Most column-level metadata is DDL or COMMENT, not tags. A typical column has zero to two tags. Tags at column level are reserved for things that genuinely drive automation:</w:t>
      </w:r>
    </w:p>
    <w:p>
      <w:pPr>
        <w:pStyle w:val="ListParagraph"/>
        <w:numPr>
          <w:ilvl w:val="0"/>
          <w:numId w:val="2"/>
        </w:numPr>
        <w:spacing w:after="40" w:before="40"/>
      </w:pPr>
      <w:r>
        <w:rPr>
          <w:sz w:val="22"/>
          <w:szCs w:val="22"/>
        </w:rPr>
        <w:t xml:space="preserve">class.pii — true / false, drives column masking</w:t>
      </w:r>
    </w:p>
    <w:p>
      <w:pPr>
        <w:pStyle w:val="ListParagraph"/>
        <w:numPr>
          <w:ilvl w:val="0"/>
          <w:numId w:val="2"/>
        </w:numPr>
        <w:spacing w:after="40" w:before="40"/>
      </w:pPr>
      <w:r>
        <w:rPr>
          <w:sz w:val="22"/>
          <w:szCs w:val="22"/>
        </w:rPr>
        <w:t xml:space="preserve">class.sensitivity — overrides table-level value when a specific column is more sensitive</w:t>
      </w:r>
    </w:p>
    <w:p>
      <w:pPr>
        <w:pStyle w:val="ListParagraph"/>
        <w:numPr>
          <w:ilvl w:val="0"/>
          <w:numId w:val="2"/>
        </w:numPr>
        <w:spacing w:after="40" w:before="40"/>
      </w:pPr>
      <w:r>
        <w:rPr>
          <w:sz w:val="22"/>
          <w:szCs w:val="22"/>
        </w:rPr>
        <w:t xml:space="preserve">class.&lt;auto-detected&gt; — applied automatically by Databricks AI classification (class.email_address, class.ssn, etc.)</w:t>
      </w:r>
    </w:p>
    <w:p>
      <w:pPr>
        <w:pStyle w:val="ListParagraph"/>
        <w:numPr>
          <w:ilvl w:val="0"/>
          <w:numId w:val="2"/>
        </w:numPr>
        <w:spacing w:after="40" w:before="40"/>
      </w:pPr>
      <w:r>
        <w:rPr>
          <w:sz w:val="22"/>
          <w:szCs w:val="22"/>
        </w:rPr>
        <w:t xml:space="preserve">glossary.term — references a business glossary entry, drives Collibra sync</w:t>
      </w:r>
    </w:p>
    <w:p>
      <w:pPr>
        <w:pStyle w:val="ListParagraph"/>
        <w:numPr>
          <w:ilvl w:val="0"/>
          <w:numId w:val="2"/>
        </w:numPr>
        <w:spacing w:after="40" w:before="40"/>
      </w:pPr>
      <w:r>
        <w:rPr>
          <w:sz w:val="22"/>
          <w:szCs w:val="22"/>
        </w:rPr>
        <w:t xml:space="preserve">column.role — optional hint for BI tools (key / measure / dimension / audit)</w:t>
      </w:r>
    </w:p>
    <w:p>
      <w:pPr>
        <w:pStyle w:val="Heading1"/>
        <w:spacing w:after="140" w:before="280"/>
      </w:pPr>
      <w:r>
        <w:rPr>
          <w:b/>
          <w:bCs/>
          <w:color w:val="1F4E78"/>
          <w:sz w:val="32"/>
          <w:szCs w:val="32"/>
        </w:rPr>
        <w:t xml:space="preserve">Worked example — a table with all three mechanisms</w:t>
      </w:r>
    </w:p>
    <w:p>
      <w:pPr>
        <w:spacing w:after="80" w:before="80"/>
      </w:pPr>
      <w:r>
        <w:t xml:space="preserve">A foundational data product, surfacing CMOS collateral position data in the risk warehouse. Note how DDL, COMMENTs, and tags each carry a different kind of metadata — and how they compose to give the table its full structural, descriptive, and governance metadata.</w:t>
      </w:r>
    </w:p>
    <w:p>
      <w:pPr>
        <w:shd w:fill="F2F2F2" w:val="clear"/>
        <w:spacing w:after="60" w:before="60"/>
      </w:pPr>
      <w:r>
        <w:rPr>
          <w:rFonts w:ascii="Consolas" w:cs="Consolas" w:eastAsia="Consolas" w:hAnsi="Consolas"/>
          <w:color w:val="1F4E78"/>
          <w:sz w:val="18"/>
          <w:szCs w:val="18"/>
        </w:rPr>
        <w:t xml:space="preserve">-- DDL: data shape, types, keys, constraints</w:t>
      </w:r>
    </w:p>
    <w:p>
      <w:pPr>
        <w:shd w:fill="F2F2F2" w:val="clear"/>
        <w:spacing w:after="60" w:before="60"/>
      </w:pPr>
      <w:r>
        <w:rPr>
          <w:rFonts w:ascii="Consolas" w:cs="Consolas" w:eastAsia="Consolas" w:hAnsi="Consolas"/>
          <w:color w:val="1F4E78"/>
          <w:sz w:val="18"/>
          <w:szCs w:val="18"/>
        </w:rPr>
        <w:t xml:space="preserve">CREATE TABLE risk_warehouse.products.collateral_position (</w:t>
      </w:r>
    </w:p>
    <w:p>
      <w:pPr>
        <w:shd w:fill="F2F2F2" w:val="clear"/>
        <w:spacing w:after="60" w:before="60"/>
      </w:pPr>
      <w:r>
        <w:rPr>
          <w:rFonts w:ascii="Consolas" w:cs="Consolas" w:eastAsia="Consolas" w:hAnsi="Consolas"/>
          <w:color w:val="1F4E78"/>
          <w:sz w:val="18"/>
          <w:szCs w:val="18"/>
        </w:rPr>
        <w:t xml:space="preserve">  counterparty_id   STRING       NOT NULL</w:t>
      </w:r>
    </w:p>
    <w:p>
      <w:pPr>
        <w:shd w:fill="F2F2F2" w:val="clear"/>
        <w:spacing w:after="60" w:before="60"/>
      </w:pPr>
      <w:r>
        <w:rPr>
          <w:rFonts w:ascii="Consolas" w:cs="Consolas" w:eastAsia="Consolas" w:hAnsi="Consolas"/>
          <w:color w:val="1F4E78"/>
          <w:sz w:val="18"/>
          <w:szCs w:val="18"/>
        </w:rPr>
        <w:t xml:space="preserve">    COMMENT 'Counterparty identifier, conformed across CMOS, VS, RCS',</w:t>
      </w:r>
    </w:p>
    <w:p>
      <w:pPr>
        <w:shd w:fill="F2F2F2" w:val="clear"/>
        <w:spacing w:after="60" w:before="60"/>
      </w:pPr>
      <w:r>
        <w:rPr>
          <w:rFonts w:ascii="Consolas" w:cs="Consolas" w:eastAsia="Consolas" w:hAnsi="Consolas"/>
          <w:color w:val="1F4E78"/>
          <w:sz w:val="18"/>
          <w:szCs w:val="18"/>
        </w:rPr>
        <w:t xml:space="preserve">  business_date     DATE         NOT NULL</w:t>
      </w:r>
    </w:p>
    <w:p>
      <w:pPr>
        <w:shd w:fill="F2F2F2" w:val="clear"/>
        <w:spacing w:after="60" w:before="60"/>
      </w:pPr>
      <w:r>
        <w:rPr>
          <w:rFonts w:ascii="Consolas" w:cs="Consolas" w:eastAsia="Consolas" w:hAnsi="Consolas"/>
          <w:color w:val="1F4E78"/>
          <w:sz w:val="18"/>
          <w:szCs w:val="18"/>
        </w:rPr>
        <w:t xml:space="preserve">    COMMENT 'Business date the position represents',</w:t>
      </w:r>
    </w:p>
    <w:p>
      <w:pPr>
        <w:shd w:fill="F2F2F2" w:val="clear"/>
        <w:spacing w:after="60" w:before="60"/>
      </w:pPr>
      <w:r>
        <w:rPr>
          <w:rFonts w:ascii="Consolas" w:cs="Consolas" w:eastAsia="Consolas" w:hAnsi="Consolas"/>
          <w:color w:val="1F4E78"/>
          <w:sz w:val="18"/>
          <w:szCs w:val="18"/>
        </w:rPr>
        <w:t xml:space="preserve">  currency          STRING       NOT NULL</w:t>
      </w:r>
    </w:p>
    <w:p>
      <w:pPr>
        <w:shd w:fill="F2F2F2" w:val="clear"/>
        <w:spacing w:after="60" w:before="60"/>
      </w:pPr>
      <w:r>
        <w:rPr>
          <w:rFonts w:ascii="Consolas" w:cs="Consolas" w:eastAsia="Consolas" w:hAnsi="Consolas"/>
          <w:color w:val="1F4E78"/>
          <w:sz w:val="18"/>
          <w:szCs w:val="18"/>
        </w:rPr>
        <w:t xml:space="preserve">    COMMENT 'ISO 4217 currency code',</w:t>
      </w:r>
    </w:p>
    <w:p>
      <w:pPr>
        <w:shd w:fill="F2F2F2" w:val="clear"/>
        <w:spacing w:after="60" w:before="60"/>
      </w:pPr>
      <w:r>
        <w:rPr>
          <w:rFonts w:ascii="Consolas" w:cs="Consolas" w:eastAsia="Consolas" w:hAnsi="Consolas"/>
          <w:color w:val="1F4E78"/>
          <w:sz w:val="18"/>
          <w:szCs w:val="18"/>
        </w:rPr>
        <w:t xml:space="preserve">  posted_amount     DECIMAL(18,2) DEFAULT 0</w:t>
      </w:r>
    </w:p>
    <w:p>
      <w:pPr>
        <w:shd w:fill="F2F2F2" w:val="clear"/>
        <w:spacing w:after="60" w:before="60"/>
      </w:pPr>
      <w:r>
        <w:rPr>
          <w:rFonts w:ascii="Consolas" w:cs="Consolas" w:eastAsia="Consolas" w:hAnsi="Consolas"/>
          <w:color w:val="1F4E78"/>
          <w:sz w:val="18"/>
          <w:szCs w:val="18"/>
        </w:rPr>
        <w:t xml:space="preserve">    COMMENT 'Posted collateral amount in native currency (additive within counterparty)',</w:t>
      </w:r>
    </w:p>
    <w:p>
      <w:pPr>
        <w:shd w:fill="F2F2F2" w:val="clear"/>
        <w:spacing w:after="60" w:before="60"/>
      </w:pPr>
      <w:r>
        <w:rPr>
          <w:rFonts w:ascii="Consolas" w:cs="Consolas" w:eastAsia="Consolas" w:hAnsi="Consolas"/>
          <w:color w:val="1F4E78"/>
          <w:sz w:val="18"/>
          <w:szCs w:val="18"/>
        </w:rPr>
        <w:t xml:space="preserve">  CONSTRAINT pk_collateral_position</w:t>
      </w:r>
    </w:p>
    <w:p>
      <w:pPr>
        <w:shd w:fill="F2F2F2" w:val="clear"/>
        <w:spacing w:after="60" w:before="60"/>
      </w:pPr>
      <w:r>
        <w:rPr>
          <w:rFonts w:ascii="Consolas" w:cs="Consolas" w:eastAsia="Consolas" w:hAnsi="Consolas"/>
          <w:color w:val="1F4E78"/>
          <w:sz w:val="18"/>
          <w:szCs w:val="18"/>
        </w:rPr>
        <w:t xml:space="preserve">    PRIMARY KEY (counterparty_id, business_date, currency),</w:t>
      </w:r>
    </w:p>
    <w:p>
      <w:pPr>
        <w:shd w:fill="F2F2F2" w:val="clear"/>
        <w:spacing w:after="60" w:before="60"/>
      </w:pPr>
      <w:r>
        <w:rPr>
          <w:rFonts w:ascii="Consolas" w:cs="Consolas" w:eastAsia="Consolas" w:hAnsi="Consolas"/>
          <w:color w:val="1F4E78"/>
          <w:sz w:val="18"/>
          <w:szCs w:val="18"/>
        </w:rPr>
        <w:t xml:space="preserve">  CONSTRAINT fk_counterparty</w:t>
      </w:r>
    </w:p>
    <w:p>
      <w:pPr>
        <w:shd w:fill="F2F2F2" w:val="clear"/>
        <w:spacing w:after="60" w:before="60"/>
      </w:pPr>
      <w:r>
        <w:rPr>
          <w:rFonts w:ascii="Consolas" w:cs="Consolas" w:eastAsia="Consolas" w:hAnsi="Consolas"/>
          <w:color w:val="1F4E78"/>
          <w:sz w:val="18"/>
          <w:szCs w:val="18"/>
        </w:rPr>
        <w:t xml:space="preserve">    FOREIGN KEY (counterparty_id) REFERENCES risk_warehouse.core.counterparty(counterparty_id),</w:t>
      </w:r>
    </w:p>
    <w:p>
      <w:pPr>
        <w:shd w:fill="F2F2F2" w:val="clear"/>
        <w:spacing w:after="60" w:before="60"/>
      </w:pPr>
      <w:r>
        <w:rPr>
          <w:rFonts w:ascii="Consolas" w:cs="Consolas" w:eastAsia="Consolas" w:hAnsi="Consolas"/>
          <w:color w:val="1F4E78"/>
          <w:sz w:val="18"/>
          <w:szCs w:val="18"/>
        </w:rPr>
        <w:t xml:space="preserve">  CONSTRAINT amount_non_negative CHECK (posted_amount &gt;= 0)</w:t>
      </w:r>
    </w:p>
    <w:p>
      <w:pPr>
        <w:shd w:fill="F2F2F2" w:val="clear"/>
        <w:spacing w:after="60" w:before="60"/>
      </w:pPr>
      <w:r>
        <w:rPr>
          <w:rFonts w:ascii="Consolas" w:cs="Consolas" w:eastAsia="Consolas" w:hAnsi="Consolas"/>
          <w:color w:val="1F4E78"/>
          <w:sz w:val="18"/>
          <w:szCs w:val="18"/>
        </w:rPr>
        <w:t xml:space="preserve">)</w:t>
      </w:r>
    </w:p>
    <w:p>
      <w:pPr>
        <w:shd w:fill="F2F2F2" w:val="clear"/>
        <w:spacing w:after="60" w:before="60"/>
      </w:pPr>
      <w:r>
        <w:rPr>
          <w:rFonts w:ascii="Consolas" w:cs="Consolas" w:eastAsia="Consolas" w:hAnsi="Consolas"/>
          <w:color w:val="1F4E78"/>
          <w:sz w:val="18"/>
          <w:szCs w:val="18"/>
        </w:rPr>
        <w:t xml:space="preserve">COMMENT 'Daily posted collateral by counterparty and currency. Sourced from CMOS. See contract: &lt;Confluence URL&gt;.';</w:t>
      </w:r>
    </w:p>
    <w:p>
      <w:pPr>
        <w:spacing w:after="120"/>
      </w:pPr>
      <w:r>
        <w:t xml:space="preserve"> </w:t>
      </w:r>
    </w:p>
    <w:p>
      <w:pPr>
        <w:shd w:fill="F2F2F2" w:val="clear"/>
        <w:spacing w:after="60" w:before="60"/>
      </w:pPr>
      <w:r>
        <w:rPr>
          <w:rFonts w:ascii="Consolas" w:cs="Consolas" w:eastAsia="Consolas" w:hAnsi="Consolas"/>
          <w:color w:val="1F4E78"/>
          <w:sz w:val="18"/>
          <w:szCs w:val="18"/>
        </w:rPr>
        <w:t xml:space="preserve">-- TAGS: filterable, policy-driving metadata</w:t>
      </w:r>
    </w:p>
    <w:p>
      <w:pPr>
        <w:shd w:fill="F2F2F2" w:val="clear"/>
        <w:spacing w:after="60" w:before="60"/>
      </w:pPr>
      <w:r>
        <w:rPr>
          <w:rFonts w:ascii="Consolas" w:cs="Consolas" w:eastAsia="Consolas" w:hAnsi="Consolas"/>
          <w:color w:val="1F4E78"/>
          <w:sz w:val="18"/>
          <w:szCs w:val="18"/>
        </w:rPr>
        <w:t xml:space="preserve">ALTER TABLE risk_warehouse.products.collateral_position SET TAGS (</w:t>
      </w:r>
    </w:p>
    <w:p>
      <w:pPr>
        <w:shd w:fill="F2F2F2" w:val="clear"/>
        <w:spacing w:after="60" w:before="60"/>
      </w:pPr>
      <w:r>
        <w:rPr>
          <w:rFonts w:ascii="Consolas" w:cs="Consolas" w:eastAsia="Consolas" w:hAnsi="Consolas"/>
          <w:color w:val="1F4E78"/>
          <w:sz w:val="18"/>
          <w:szCs w:val="18"/>
        </w:rPr>
        <w:t xml:space="preserve">  'capability'         = 'collateral_management',</w:t>
      </w:r>
    </w:p>
    <w:p>
      <w:pPr>
        <w:shd w:fill="F2F2F2" w:val="clear"/>
        <w:spacing w:after="60" w:before="60"/>
      </w:pPr>
      <w:r>
        <w:rPr>
          <w:rFonts w:ascii="Consolas" w:cs="Consolas" w:eastAsia="Consolas" w:hAnsi="Consolas"/>
          <w:color w:val="1F4E78"/>
          <w:sz w:val="18"/>
          <w:szCs w:val="18"/>
        </w:rPr>
        <w:t xml:space="preserve">  'archetype'          = 'foundational',</w:t>
      </w:r>
    </w:p>
    <w:p>
      <w:pPr>
        <w:shd w:fill="F2F2F2" w:val="clear"/>
        <w:spacing w:after="60" w:before="60"/>
      </w:pPr>
      <w:r>
        <w:rPr>
          <w:rFonts w:ascii="Consolas" w:cs="Consolas" w:eastAsia="Consolas" w:hAnsi="Consolas"/>
          <w:color w:val="1F4E78"/>
          <w:sz w:val="18"/>
          <w:szCs w:val="18"/>
        </w:rPr>
        <w:t xml:space="preserve">  'shape'              = 'fact',</w:t>
      </w:r>
    </w:p>
    <w:p>
      <w:pPr>
        <w:shd w:fill="F2F2F2" w:val="clear"/>
        <w:spacing w:after="60" w:before="60"/>
      </w:pPr>
      <w:r>
        <w:rPr>
          <w:rFonts w:ascii="Consolas" w:cs="Consolas" w:eastAsia="Consolas" w:hAnsi="Consolas"/>
          <w:color w:val="1F4E78"/>
          <w:sz w:val="18"/>
          <w:szCs w:val="18"/>
        </w:rPr>
        <w:t xml:space="preserve">  'status'             = 'active',</w:t>
      </w:r>
    </w:p>
    <w:p>
      <w:pPr>
        <w:shd w:fill="F2F2F2" w:val="clear"/>
        <w:spacing w:after="60" w:before="60"/>
      </w:pPr>
      <w:r>
        <w:rPr>
          <w:rFonts w:ascii="Consolas" w:cs="Consolas" w:eastAsia="Consolas" w:hAnsi="Consolas"/>
          <w:color w:val="1F4E78"/>
          <w:sz w:val="18"/>
          <w:szCs w:val="18"/>
        </w:rPr>
        <w:t xml:space="preserve">  'source.app'         = 'cmos',</w:t>
      </w:r>
    </w:p>
    <w:p>
      <w:pPr>
        <w:shd w:fill="F2F2F2" w:val="clear"/>
        <w:spacing w:after="60" w:before="60"/>
      </w:pPr>
      <w:r>
        <w:rPr>
          <w:rFonts w:ascii="Consolas" w:cs="Consolas" w:eastAsia="Consolas" w:hAnsi="Consolas"/>
          <w:color w:val="1F4E78"/>
          <w:sz w:val="18"/>
          <w:szCs w:val="18"/>
        </w:rPr>
        <w:t xml:space="preserve">  'source.domain'      = 'credit_risk',</w:t>
      </w:r>
    </w:p>
    <w:p>
      <w:pPr>
        <w:shd w:fill="F2F2F2" w:val="clear"/>
        <w:spacing w:after="60" w:before="60"/>
      </w:pPr>
      <w:r>
        <w:rPr>
          <w:rFonts w:ascii="Consolas" w:cs="Consolas" w:eastAsia="Consolas" w:hAnsi="Consolas"/>
          <w:color w:val="1F4E78"/>
          <w:sz w:val="18"/>
          <w:szCs w:val="18"/>
        </w:rPr>
        <w:t xml:space="preserve">  'owner.business'     = 'pg_credit_risk',</w:t>
      </w:r>
    </w:p>
    <w:p>
      <w:pPr>
        <w:shd w:fill="F2F2F2" w:val="clear"/>
        <w:spacing w:after="60" w:before="60"/>
      </w:pPr>
      <w:r>
        <w:rPr>
          <w:rFonts w:ascii="Consolas" w:cs="Consolas" w:eastAsia="Consolas" w:hAnsi="Consolas"/>
          <w:color w:val="1F4E78"/>
          <w:sz w:val="18"/>
          <w:szCs w:val="18"/>
        </w:rPr>
        <w:t xml:space="preserve">  'owner.technical'    = 'risk_data_platform',</w:t>
      </w:r>
    </w:p>
    <w:p>
      <w:pPr>
        <w:shd w:fill="F2F2F2" w:val="clear"/>
        <w:spacing w:after="60" w:before="60"/>
      </w:pPr>
      <w:r>
        <w:rPr>
          <w:rFonts w:ascii="Consolas" w:cs="Consolas" w:eastAsia="Consolas" w:hAnsi="Consolas"/>
          <w:color w:val="1F4E78"/>
          <w:sz w:val="18"/>
          <w:szCs w:val="18"/>
        </w:rPr>
        <w:t xml:space="preserve">  'owner.email'        = 'risk-data-collateral@td.com',</w:t>
      </w:r>
    </w:p>
    <w:p>
      <w:pPr>
        <w:shd w:fill="F2F2F2" w:val="clear"/>
        <w:spacing w:after="60" w:before="60"/>
      </w:pPr>
      <w:r>
        <w:rPr>
          <w:rFonts w:ascii="Consolas" w:cs="Consolas" w:eastAsia="Consolas" w:hAnsi="Consolas"/>
          <w:color w:val="1F4E78"/>
          <w:sz w:val="18"/>
          <w:szCs w:val="18"/>
        </w:rPr>
        <w:t xml:space="preserve">  'class.sensitivity'  = 'confidential',</w:t>
      </w:r>
    </w:p>
    <w:p>
      <w:pPr>
        <w:shd w:fill="F2F2F2" w:val="clear"/>
        <w:spacing w:after="60" w:before="60"/>
      </w:pPr>
      <w:r>
        <w:rPr>
          <w:rFonts w:ascii="Consolas" w:cs="Consolas" w:eastAsia="Consolas" w:hAnsi="Consolas"/>
          <w:color w:val="1F4E78"/>
          <w:sz w:val="18"/>
          <w:szCs w:val="18"/>
        </w:rPr>
        <w:t xml:space="preserve">  'class.pii'          = 'false',</w:t>
      </w:r>
    </w:p>
    <w:p>
      <w:pPr>
        <w:shd w:fill="F2F2F2" w:val="clear"/>
        <w:spacing w:after="60" w:before="60"/>
      </w:pPr>
      <w:r>
        <w:rPr>
          <w:rFonts w:ascii="Consolas" w:cs="Consolas" w:eastAsia="Consolas" w:hAnsi="Consolas"/>
          <w:color w:val="1F4E78"/>
          <w:sz w:val="18"/>
          <w:szCs w:val="18"/>
        </w:rPr>
        <w:t xml:space="preserve">  'contract.version'   = '1.0.0',</w:t>
      </w:r>
    </w:p>
    <w:p>
      <w:pPr>
        <w:shd w:fill="F2F2F2" w:val="clear"/>
        <w:spacing w:after="60" w:before="60"/>
      </w:pPr>
      <w:r>
        <w:rPr>
          <w:rFonts w:ascii="Consolas" w:cs="Consolas" w:eastAsia="Consolas" w:hAnsi="Consolas"/>
          <w:color w:val="1F4E78"/>
          <w:sz w:val="18"/>
          <w:szCs w:val="18"/>
        </w:rPr>
        <w:t xml:space="preserve">  'contract.changed'   = '2026-05-13',</w:t>
      </w:r>
    </w:p>
    <w:p>
      <w:pPr>
        <w:shd w:fill="F2F2F2" w:val="clear"/>
        <w:spacing w:after="60" w:before="60"/>
      </w:pPr>
      <w:r>
        <w:rPr>
          <w:rFonts w:ascii="Consolas" w:cs="Consolas" w:eastAsia="Consolas" w:hAnsi="Consolas"/>
          <w:color w:val="1F4E78"/>
          <w:sz w:val="18"/>
          <w:szCs w:val="18"/>
        </w:rPr>
        <w:t xml:space="preserve">  'contract.ref'       = 'https://td.atlassian.net/wiki/.../collateral-position',</w:t>
      </w:r>
    </w:p>
    <w:p>
      <w:pPr>
        <w:shd w:fill="F2F2F2" w:val="clear"/>
        <w:spacing w:after="60" w:before="60"/>
      </w:pPr>
      <w:r>
        <w:rPr>
          <w:rFonts w:ascii="Consolas" w:cs="Consolas" w:eastAsia="Consolas" w:hAnsi="Consolas"/>
          <w:color w:val="1F4E78"/>
          <w:sz w:val="18"/>
          <w:szCs w:val="18"/>
        </w:rPr>
        <w:t xml:space="preserve">  'grain'              = 'counterparty+date+currency',</w:t>
      </w:r>
    </w:p>
    <w:p>
      <w:pPr>
        <w:shd w:fill="F2F2F2" w:val="clear"/>
        <w:spacing w:after="60" w:before="60"/>
      </w:pPr>
      <w:r>
        <w:rPr>
          <w:rFonts w:ascii="Consolas" w:cs="Consolas" w:eastAsia="Consolas" w:hAnsi="Consolas"/>
          <w:color w:val="1F4E78"/>
          <w:sz w:val="18"/>
          <w:szCs w:val="18"/>
        </w:rPr>
        <w:t xml:space="preserve">  'refresh.freq'       = 'daily',</w:t>
      </w:r>
    </w:p>
    <w:p>
      <w:pPr>
        <w:shd w:fill="F2F2F2" w:val="clear"/>
        <w:spacing w:after="60" w:before="60"/>
      </w:pPr>
      <w:r>
        <w:rPr>
          <w:rFonts w:ascii="Consolas" w:cs="Consolas" w:eastAsia="Consolas" w:hAnsi="Consolas"/>
          <w:color w:val="1F4E78"/>
          <w:sz w:val="18"/>
          <w:szCs w:val="18"/>
        </w:rPr>
        <w:t xml:space="preserve">  'refresh.sla'        = 'daily_by_06:00_EST',</w:t>
      </w:r>
    </w:p>
    <w:p>
      <w:pPr>
        <w:shd w:fill="F2F2F2" w:val="clear"/>
        <w:spacing w:after="60" w:before="60"/>
      </w:pPr>
      <w:r>
        <w:rPr>
          <w:rFonts w:ascii="Consolas" w:cs="Consolas" w:eastAsia="Consolas" w:hAnsi="Consolas"/>
          <w:color w:val="1F4E78"/>
          <w:sz w:val="18"/>
          <w:szCs w:val="18"/>
        </w:rPr>
        <w:t xml:space="preserve">  'collibra.ref'       = 'CRR-COL-001'</w:t>
      </w:r>
    </w:p>
    <w:p>
      <w:pPr>
        <w:shd w:fill="F2F2F2" w:val="clear"/>
        <w:spacing w:after="60" w:before="60"/>
      </w:pPr>
      <w:r>
        <w:rPr>
          <w:rFonts w:ascii="Consolas" w:cs="Consolas" w:eastAsia="Consolas" w:hAnsi="Consolas"/>
          <w:color w:val="1F4E78"/>
          <w:sz w:val="18"/>
          <w:szCs w:val="18"/>
        </w:rPr>
        <w:t xml:space="preserve">);</w:t>
      </w:r>
    </w:p>
    <w:p>
      <w:pPr>
        <w:spacing w:after="160"/>
      </w:pPr>
      <w:r>
        <w:t xml:space="preserve"> </w:t>
      </w:r>
    </w:p>
    <w:p>
      <w:pPr>
        <w:spacing w:after="80" w:before="80"/>
      </w:pPr>
      <w:r>
        <w:t xml:space="preserve">Read that example as three layers stacked. The DDL defines the data's shape and integrity rules — what types, what's required, what relates to what, what values are valid. The COMMENTs (both on the table and on each column) give the human-readable business explanation. The tags add the discoverability and governance metadata that lets the catalog, ABAC policies, and reporting tools work with this table programmatically. Each mechanism does one job. Together they make the table complete.</w:t>
      </w:r>
    </w:p>
    <w:p>
      <w:pPr>
        <w:pStyle w:val="Heading1"/>
        <w:spacing w:after="140" w:before="280"/>
      </w:pPr>
      <w:r>
        <w:rPr>
          <w:b/>
          <w:bCs/>
          <w:color w:val="1F4E78"/>
          <w:sz w:val="32"/>
          <w:szCs w:val="32"/>
        </w:rPr>
        <w:t xml:space="preserve">Querying the metadata</w:t>
      </w:r>
    </w:p>
    <w:p>
      <w:pPr>
        <w:spacing w:after="80" w:before="80"/>
      </w:pPr>
      <w:r>
        <w:t xml:space="preserve">All three mechanisms are queryable via system.information_schema. This is the operational payoff: get the metadata into the right mechanism once, and it's queryable forever after.</w:t>
      </w:r>
    </w:p>
    <w:p>
      <w:pPr>
        <w:spacing w:after="80" w:before="160"/>
      </w:pPr>
      <w:r>
        <w:t xml:space="preserve">Three common queries:</w:t>
      </w:r>
    </w:p>
    <w:p>
      <w:pPr>
        <w:shd w:fill="F2F2F2" w:val="clear"/>
        <w:spacing w:after="60" w:before="60"/>
      </w:pPr>
      <w:r>
        <w:rPr>
          <w:rFonts w:ascii="Consolas" w:cs="Consolas" w:eastAsia="Consolas" w:hAnsi="Consolas"/>
          <w:color w:val="1F4E78"/>
          <w:sz w:val="18"/>
          <w:szCs w:val="18"/>
        </w:rPr>
        <w:t xml:space="preserve">-- Find every primary key in a schema</w:t>
      </w:r>
    </w:p>
    <w:p>
      <w:pPr>
        <w:shd w:fill="F2F2F2" w:val="clear"/>
        <w:spacing w:after="60" w:before="60"/>
      </w:pPr>
      <w:r>
        <w:rPr>
          <w:rFonts w:ascii="Consolas" w:cs="Consolas" w:eastAsia="Consolas" w:hAnsi="Consolas"/>
          <w:color w:val="1F4E78"/>
          <w:sz w:val="18"/>
          <w:szCs w:val="18"/>
        </w:rPr>
        <w:t xml:space="preserve">SELECT tc.table_name, kcu.column_name</w:t>
      </w:r>
    </w:p>
    <w:p>
      <w:pPr>
        <w:shd w:fill="F2F2F2" w:val="clear"/>
        <w:spacing w:after="60" w:before="60"/>
      </w:pPr>
      <w:r>
        <w:rPr>
          <w:rFonts w:ascii="Consolas" w:cs="Consolas" w:eastAsia="Consolas" w:hAnsi="Consolas"/>
          <w:color w:val="1F4E78"/>
          <w:sz w:val="18"/>
          <w:szCs w:val="18"/>
        </w:rPr>
        <w:t xml:space="preserve">FROM system.information_schema.table_constraints tc</w:t>
      </w:r>
    </w:p>
    <w:p>
      <w:pPr>
        <w:shd w:fill="F2F2F2" w:val="clear"/>
        <w:spacing w:after="60" w:before="60"/>
      </w:pPr>
      <w:r>
        <w:rPr>
          <w:rFonts w:ascii="Consolas" w:cs="Consolas" w:eastAsia="Consolas" w:hAnsi="Consolas"/>
          <w:color w:val="1F4E78"/>
          <w:sz w:val="18"/>
          <w:szCs w:val="18"/>
        </w:rPr>
        <w:t xml:space="preserve">JOIN system.information_schema.key_column_usage kcu</w:t>
      </w:r>
    </w:p>
    <w:p>
      <w:pPr>
        <w:shd w:fill="F2F2F2" w:val="clear"/>
        <w:spacing w:after="60" w:before="60"/>
      </w:pPr>
      <w:r>
        <w:rPr>
          <w:rFonts w:ascii="Consolas" w:cs="Consolas" w:eastAsia="Consolas" w:hAnsi="Consolas"/>
          <w:color w:val="1F4E78"/>
          <w:sz w:val="18"/>
          <w:szCs w:val="18"/>
        </w:rPr>
        <w:t xml:space="preserve">  USING (constraint_catalog, constraint_schema, constraint_name)</w:t>
      </w:r>
    </w:p>
    <w:p>
      <w:pPr>
        <w:shd w:fill="F2F2F2" w:val="clear"/>
        <w:spacing w:after="60" w:before="60"/>
      </w:pPr>
      <w:r>
        <w:rPr>
          <w:rFonts w:ascii="Consolas" w:cs="Consolas" w:eastAsia="Consolas" w:hAnsi="Consolas"/>
          <w:color w:val="1F4E78"/>
          <w:sz w:val="18"/>
          <w:szCs w:val="18"/>
        </w:rPr>
        <w:t xml:space="preserve">WHERE tc.constraint_type = 'PRIMARY KEY' AND tc.table_schema = 'cmos';</w:t>
      </w:r>
    </w:p>
    <w:p>
      <w:pPr>
        <w:spacing w:after="100"/>
      </w:pPr>
      <w:r>
        <w:t xml:space="preserve"> </w:t>
      </w:r>
    </w:p>
    <w:p>
      <w:pPr>
        <w:shd w:fill="F2F2F2" w:val="clear"/>
        <w:spacing w:after="60" w:before="60"/>
      </w:pPr>
      <w:r>
        <w:rPr>
          <w:rFonts w:ascii="Consolas" w:cs="Consolas" w:eastAsia="Consolas" w:hAnsi="Consolas"/>
          <w:color w:val="1F4E78"/>
          <w:sz w:val="18"/>
          <w:szCs w:val="18"/>
        </w:rPr>
        <w:t xml:space="preserve">-- Find every PII column across the metastore</w:t>
      </w:r>
    </w:p>
    <w:p>
      <w:pPr>
        <w:shd w:fill="F2F2F2" w:val="clear"/>
        <w:spacing w:after="60" w:before="60"/>
      </w:pPr>
      <w:r>
        <w:rPr>
          <w:rFonts w:ascii="Consolas" w:cs="Consolas" w:eastAsia="Consolas" w:hAnsi="Consolas"/>
          <w:color w:val="1F4E78"/>
          <w:sz w:val="18"/>
          <w:szCs w:val="18"/>
        </w:rPr>
        <w:t xml:space="preserve">SELECT * FROM system.information_schema.column_tags</w:t>
      </w:r>
    </w:p>
    <w:p>
      <w:pPr>
        <w:shd w:fill="F2F2F2" w:val="clear"/>
        <w:spacing w:after="60" w:before="60"/>
      </w:pPr>
      <w:r>
        <w:rPr>
          <w:rFonts w:ascii="Consolas" w:cs="Consolas" w:eastAsia="Consolas" w:hAnsi="Consolas"/>
          <w:color w:val="1F4E78"/>
          <w:sz w:val="18"/>
          <w:szCs w:val="18"/>
        </w:rPr>
        <w:t xml:space="preserve">WHERE tag_name = 'class.pii' AND tag_value = 'true';</w:t>
      </w:r>
    </w:p>
    <w:p>
      <w:pPr>
        <w:spacing w:after="100"/>
      </w:pPr>
      <w:r>
        <w:t xml:space="preserve"> </w:t>
      </w:r>
    </w:p>
    <w:p>
      <w:pPr>
        <w:shd w:fill="F2F2F2" w:val="clear"/>
        <w:spacing w:after="60" w:before="60"/>
      </w:pPr>
      <w:r>
        <w:rPr>
          <w:rFonts w:ascii="Consolas" w:cs="Consolas" w:eastAsia="Consolas" w:hAnsi="Consolas"/>
          <w:color w:val="1F4E78"/>
          <w:sz w:val="18"/>
          <w:szCs w:val="18"/>
        </w:rPr>
        <w:t xml:space="preserve">-- Find every product in a given capability</w:t>
      </w:r>
    </w:p>
    <w:p>
      <w:pPr>
        <w:shd w:fill="F2F2F2" w:val="clear"/>
        <w:spacing w:after="60" w:before="60"/>
      </w:pPr>
      <w:r>
        <w:rPr>
          <w:rFonts w:ascii="Consolas" w:cs="Consolas" w:eastAsia="Consolas" w:hAnsi="Consolas"/>
          <w:color w:val="1F4E78"/>
          <w:sz w:val="18"/>
          <w:szCs w:val="18"/>
        </w:rPr>
        <w:t xml:space="preserve">SELECT * FROM system.information_schema.table_tags</w:t>
      </w:r>
    </w:p>
    <w:p>
      <w:pPr>
        <w:shd w:fill="F2F2F2" w:val="clear"/>
        <w:spacing w:after="60" w:before="60"/>
      </w:pPr>
      <w:r>
        <w:rPr>
          <w:rFonts w:ascii="Consolas" w:cs="Consolas" w:eastAsia="Consolas" w:hAnsi="Consolas"/>
          <w:color w:val="1F4E78"/>
          <w:sz w:val="18"/>
          <w:szCs w:val="18"/>
        </w:rPr>
        <w:t xml:space="preserve">WHERE tag_name = 'capability' AND tag_value = 'collateral_management';</w:t>
      </w:r>
    </w:p>
    <w:p>
      <w:pPr>
        <w:spacing w:after="200"/>
      </w:pPr>
      <w:r>
        <w:t xml:space="preserve"> </w:t>
      </w:r>
    </w:p>
    <w:p>
      <w:pPr>
        <w:pStyle w:val="Heading1"/>
        <w:spacing w:after="140" w:before="280"/>
      </w:pPr>
      <w:r>
        <w:rPr>
          <w:b/>
          <w:bCs/>
          <w:color w:val="1F4E78"/>
          <w:sz w:val="32"/>
          <w:szCs w:val="32"/>
        </w:rPr>
        <w:t xml:space="preserve">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A030" w:sz="4"/>
              <w:left w:val="single" w:color="E0A030" w:sz="24"/>
              <w:bottom w:val="single" w:color="E0A030" w:sz="4"/>
              <w:right w:val="single" w:color="E0A030" w:sz="4"/>
            </w:tcBorders>
            <w:shd w:fill="FFF4CE" w:color="auto" w:val="clear"/>
            <w:tcMar>
              <w:top w:type="dxa" w:w="160"/>
              <w:left w:type="dxa" w:w="200"/>
              <w:bottom w:type="dxa" w:w="160"/>
              <w:right w:type="dxa" w:w="200"/>
            </w:tcMar>
          </w:tcPr>
          <w:p>
            <w:r>
              <w:rPr>
                <w:b/>
                <w:bCs/>
                <w:color w:val="664D03"/>
                <w:sz w:val="24"/>
                <w:szCs w:val="24"/>
              </w:rPr>
              <w:t xml:space="preserve">If the metadata is part of the data shape — use DDL. If it's prose for humans — use COMMENT. If it's short, structured, and queried or policied programmatically — use a TAG.</w:t>
            </w:r>
          </w:p>
        </w:tc>
      </w:tr>
    </w:tbl>
    <w:p>
      <w:pPr>
        <w:spacing w:after="80"/>
      </w:pPr>
      <w:r>
        <w:t xml:space="preserve"> </w:t>
      </w:r>
    </w:p>
    <w:p>
      <w:pPr>
        <w:spacing w:after="80" w:before="80"/>
      </w:pPr>
      <w:r>
        <w:t xml:space="preserve">Stay disciplined about this and the Unity Catalog stays a queryable governance plane. Blur the boundaries and it becomes the same documentation dumping-ground every legacy data warehouse turns into.</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8"/>
      <w:sz w:val="32"/>
      <w:szCs w:val="32"/>
    </w:rPr>
  </w:style>
  <w:style w:type="paragraph" w:styleId="Heading2">
    <w:name w:val="Heading 2"/>
    <w:basedOn w:val="Normal"/>
    <w:next w:val="Normal"/>
    <w:qFormat/>
    <w:pPr>
      <w:spacing w:after="110" w:before="220"/>
      <w:outlineLvl w:val="1"/>
    </w:pPr>
    <w:rPr>
      <w:rFonts w:ascii="Arial" w:cs="Arial" w:eastAsia="Arial" w:hAnsi="Arial"/>
      <w:b/>
      <w:bCs/>
      <w:color w:val="1F4E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2026-05-13T16:17:26.760Z</dcterms:created>
  <dcterms:modified xsi:type="dcterms:W3CDTF">2026-05-13T16:17:26.761Z</dcterms:modified>
</cp:coreProperties>
</file>

<file path=docProps/custom.xml><?xml version="1.0" encoding="utf-8"?>
<Properties xmlns="http://schemas.openxmlformats.org/officeDocument/2006/custom-properties" xmlns:vt="http://schemas.openxmlformats.org/officeDocument/2006/docPropsVTypes"/>
</file>