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0621f4fc7cfc2cb838ec940908d8828553bfa01"/>
    <w:p>
      <w:pPr>
        <w:pStyle w:val="Heading1"/>
      </w:pPr>
      <w:r>
        <w:t xml:space="preserve">Stress PFE Counterparty Tearsheet — End-to-End Build Notes</w:t>
      </w:r>
    </w:p>
    <w:p>
      <w:pPr>
        <w:pStyle w:val="FirstParagraph"/>
      </w:pPr>
      <w:r>
        <w:rPr>
          <w:iCs/>
          <w:i/>
        </w:rPr>
        <w:t xml:space="preserve">A learning + reference document covering the business context, the data, and the Strategy One implementation.</w:t>
      </w:r>
    </w:p>
    <w:p>
      <w:pPr>
        <w:pStyle w:val="BodyText"/>
      </w:pPr>
      <w:r>
        <w:rPr>
          <w:bCs/>
          <w:b/>
        </w:rPr>
        <w:t xml:space="preserve">How to read this:</w:t>
      </w:r>
      <w:r>
        <w:t xml:space="preserve"> </w:t>
      </w:r>
      <w:r>
        <w:t xml:space="preserve">This document is written for two readers at once — the</w:t>
      </w:r>
      <w:r>
        <w:t xml:space="preserve"> </w:t>
      </w:r>
      <w:r>
        <w:rPr>
          <w:bCs/>
          <w:b/>
        </w:rPr>
        <w:t xml:space="preserve">business reader</w:t>
      </w:r>
      <w:r>
        <w:t xml:space="preserve"> </w:t>
      </w:r>
      <w:r>
        <w:t xml:space="preserve">who wants to understand counterparty credit risk, limits, and stress PFE (what they are, why TD measures them, what decisions they drive), and the</w:t>
      </w:r>
      <w:r>
        <w:t xml:space="preserve"> </w:t>
      </w:r>
      <w:r>
        <w:rPr>
          <w:bCs/>
          <w:b/>
        </w:rPr>
        <w:t xml:space="preserve">technical reader</w:t>
      </w:r>
      <w:r>
        <w:t xml:space="preserve"> </w:t>
      </w:r>
      <w:r>
        <w:t xml:space="preserve">who wants to understand how we built the dashboard. Every technical choice is tied back to the business reason for it, and each concept is illustrated with a concrete example. If a section gets technical, the</w:t>
      </w:r>
      <w:r>
        <w:t xml:space="preserve"> </w:t>
      </w:r>
      <w:r>
        <w:t xml:space="preserve">“</w:t>
      </w:r>
      <w:r>
        <w:t xml:space="preserve">Why it matters</w:t>
      </w:r>
      <w:r>
        <w:t xml:space="preserve">”</w:t>
      </w:r>
      <w:r>
        <w:t xml:space="preserve"> </w:t>
      </w:r>
      <w:r>
        <w:t xml:space="preserve">note brings it back to the business.</w:t>
      </w:r>
    </w:p>
    <w:p>
      <w:pPr>
        <w:pStyle w:val="BodyText"/>
      </w:pPr>
      <w:r>
        <w:t xml:space="preserve">A running example threads through the whole document: the counterparty</w:t>
      </w:r>
      <w:r>
        <w:t xml:space="preserve"> </w:t>
      </w:r>
      <w:r>
        <w:rPr>
          <w:bCs/>
          <w:b/>
        </w:rPr>
        <w:t xml:space="preserve">AGNC Investment Corp.</w:t>
      </w:r>
      <w:r>
        <w:t xml:space="preserve">, whose line in our system is</w:t>
      </w:r>
      <w:r>
        <w:t xml:space="preserve"> </w:t>
      </w:r>
      <w:r>
        <w:rPr>
          <w:rStyle w:val="VerbatimChar"/>
        </w:rPr>
        <w:t xml:space="preserve">CP_(TDBK)_(AMCQ_C2C)</w:t>
      </w:r>
      <w:r>
        <w:t xml:space="preserve"> </w:t>
      </w:r>
      <w:r>
        <w:t xml:space="preserve">(TD Bank facing AGNC, counterparty code</w:t>
      </w:r>
      <w:r>
        <w:t xml:space="preserve"> </w:t>
      </w:r>
      <w:r>
        <w:rPr>
          <w:bCs/>
          <w:b/>
        </w:rPr>
        <w:t xml:space="preserve">AMCQ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ff38eb3f2ff0da7cea5ea71c1f8e2c14e2d69b4">
        <w:r>
          <w:rPr>
            <w:rStyle w:val="Hyperlink"/>
          </w:rPr>
          <w:t xml:space="preserve">The Business Problem — What and Why</w:t>
        </w:r>
      </w:hyperlink>
    </w:p>
    <w:p>
      <w:pPr>
        <w:numPr>
          <w:ilvl w:val="0"/>
          <w:numId w:val="1001"/>
        </w:numPr>
        <w:pStyle w:val="Compact"/>
      </w:pPr>
      <w:hyperlink w:anchor="X2098b3b6183657d6a42101402ee6522d295d8f3">
        <w:r>
          <w:rPr>
            <w:rStyle w:val="Hyperlink"/>
          </w:rPr>
          <w:t xml:space="preserve">The Core Concepts (with examples)</w:t>
        </w:r>
      </w:hyperlink>
    </w:p>
    <w:p>
      <w:pPr>
        <w:numPr>
          <w:ilvl w:val="0"/>
          <w:numId w:val="1001"/>
        </w:numPr>
        <w:pStyle w:val="Compact"/>
      </w:pPr>
      <w:hyperlink w:anchor="X53d862f1aea64e6a90d3651cbad7c6411fb8427">
        <w:r>
          <w:rPr>
            <w:rStyle w:val="Hyperlink"/>
          </w:rPr>
          <w:t xml:space="preserve">The Data Landscape</w:t>
        </w:r>
      </w:hyperlink>
    </w:p>
    <w:p>
      <w:pPr>
        <w:numPr>
          <w:ilvl w:val="0"/>
          <w:numId w:val="1001"/>
        </w:numPr>
        <w:pStyle w:val="Compact"/>
      </w:pPr>
      <w:hyperlink w:anchor="X38a69c2fcb5a68312670da3ad7306ff3f21b95d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asts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Table in Detail</w:t>
        </w:r>
      </w:hyperlink>
    </w:p>
    <w:p>
      <w:pPr>
        <w:numPr>
          <w:ilvl w:val="0"/>
          <w:numId w:val="1001"/>
        </w:numPr>
        <w:pStyle w:val="Compact"/>
      </w:pPr>
      <w:hyperlink w:anchor="X459136860479d605f6f3acd96b11019d5b2c9ca">
        <w:r>
          <w:rPr>
            <w:rStyle w:val="Hyperlink"/>
          </w:rPr>
          <w:t xml:space="preserve">Data-Quality Realities We Found</w:t>
        </w:r>
      </w:hyperlink>
    </w:p>
    <w:p>
      <w:pPr>
        <w:numPr>
          <w:ilvl w:val="0"/>
          <w:numId w:val="1001"/>
        </w:numPr>
        <w:pStyle w:val="Compact"/>
      </w:pPr>
      <w:hyperlink w:anchor="Xe4a3f28c703479ca48d29739c3f8974f8e3afae">
        <w:r>
          <w:rPr>
            <w:rStyle w:val="Hyperlink"/>
          </w:rPr>
          <w:t xml:space="preserve">The Semantic Model</w:t>
        </w:r>
      </w:hyperlink>
    </w:p>
    <w:p>
      <w:pPr>
        <w:numPr>
          <w:ilvl w:val="0"/>
          <w:numId w:val="1001"/>
        </w:numPr>
        <w:pStyle w:val="Compact"/>
      </w:pPr>
      <w:hyperlink w:anchor="X13bf263efe6adad5cf3d5b5386ff29b0723878b">
        <w:r>
          <w:rPr>
            <w:rStyle w:val="Hyperlink"/>
          </w:rPr>
          <w:t xml:space="preserve">The Dashboard / Tearsheet, Visual by Visual</w:t>
        </w:r>
      </w:hyperlink>
    </w:p>
    <w:p>
      <w:pPr>
        <w:numPr>
          <w:ilvl w:val="0"/>
          <w:numId w:val="1001"/>
        </w:numPr>
        <w:pStyle w:val="Compact"/>
      </w:pPr>
      <w:hyperlink w:anchor="X50e27fe0805786145e6e885e58f98486ea66524">
        <w:r>
          <w:rPr>
            <w:rStyle w:val="Hyperlink"/>
          </w:rPr>
          <w:t xml:space="preserve">The Views — Logic and Construction</w:t>
        </w:r>
      </w:hyperlink>
    </w:p>
    <w:p>
      <w:pPr>
        <w:numPr>
          <w:ilvl w:val="0"/>
          <w:numId w:val="1001"/>
        </w:numPr>
        <w:pStyle w:val="Compact"/>
      </w:pPr>
      <w:hyperlink w:anchor="X057420b3829ec514e3ebc855f93e0af4e0b4329">
        <w:r>
          <w:rPr>
            <w:rStyle w:val="Hyperlink"/>
          </w:rPr>
          <w:t xml:space="preserve">Parked Items and Notes for the Rebuild Team</w:t>
        </w:r>
      </w:hyperlink>
    </w:p>
    <w:p>
      <w:pPr>
        <w:numPr>
          <w:ilvl w:val="0"/>
          <w:numId w:val="1001"/>
        </w:numPr>
        <w:pStyle w:val="Compact"/>
      </w:pPr>
      <w:hyperlink w:anchor="Xcb993899199370decf8563a1767dcf3b190058b">
        <w:r>
          <w:rPr>
            <w:rStyle w:val="Hyperlink"/>
          </w:rPr>
          <w:t xml:space="preserve">Glossary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the-business-problem"/>
    <w:p>
      <w:pPr>
        <w:pStyle w:val="Heading2"/>
      </w:pPr>
      <w:r>
        <w:t xml:space="preserve">1. The Business Problem</w:t>
      </w:r>
    </w:p>
    <w:bookmarkStart w:id="21" w:name="what-were-building"/>
    <w:p>
      <w:pPr>
        <w:pStyle w:val="Heading3"/>
      </w:pPr>
      <w:r>
        <w:t xml:space="preserve">What we’re building</w:t>
      </w:r>
    </w:p>
    <w:p>
      <w:pPr>
        <w:pStyle w:val="FirstParagraph"/>
      </w:pPr>
      <w:r>
        <w:t xml:space="preserve">We are rebuilding a legacy per-counterparty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PFE Stress Testing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tearsheet</w:t>
      </w:r>
      <w:r>
        <w:t xml:space="preserve"> </w:t>
      </w:r>
      <w:r>
        <w:t xml:space="preserve">— historically a static report produced from the</w:t>
      </w:r>
      <w:r>
        <w:t xml:space="preserve"> </w:t>
      </w:r>
      <w:r>
        <w:rPr>
          <w:bCs/>
          <w:b/>
        </w:rPr>
        <w:t xml:space="preserve">SCREAM</w:t>
      </w:r>
      <w:r>
        <w:t xml:space="preserve"> </w:t>
      </w:r>
      <w:r>
        <w:t xml:space="preserve">risk engine and assembled in Word/Excel — as a</w:t>
      </w:r>
      <w:r>
        <w:t xml:space="preserve"> </w:t>
      </w:r>
      <w:r>
        <w:rPr>
          <w:bCs/>
          <w:b/>
        </w:rPr>
        <w:t xml:space="preserve">live, governed dashboard in Strategy One</w:t>
      </w:r>
      <w:r>
        <w:t xml:space="preserve">, sitting on a</w:t>
      </w:r>
      <w:r>
        <w:t xml:space="preserve"> </w:t>
      </w:r>
      <w:r>
        <w:rPr>
          <w:bCs/>
          <w:b/>
        </w:rPr>
        <w:t xml:space="preserve">Mosaic semantic model</w:t>
      </w:r>
      <w:r>
        <w:t xml:space="preserve"> </w:t>
      </w:r>
      <w:r>
        <w:t xml:space="preserve">over</w:t>
      </w:r>
      <w:r>
        <w:t xml:space="preserve"> </w:t>
      </w:r>
      <w:r>
        <w:rPr>
          <w:bCs/>
          <w:b/>
        </w:rPr>
        <w:t xml:space="preserve">Databricks</w:t>
      </w:r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t xml:space="preserve">“</w:t>
      </w:r>
      <w:r>
        <w:t xml:space="preserve">tearsheet</w:t>
      </w:r>
      <w:r>
        <w:t xml:space="preserve">”</w:t>
      </w:r>
      <w:r>
        <w:t xml:space="preserve"> </w:t>
      </w:r>
      <w:r>
        <w:t xml:space="preserve">is a one-page summary for a single counterparty: who they are, how much potential exposure TD has to them, how that exposure behaves under stress, where it breaches limits, and a space for the analyst’s commentary.</w:t>
      </w:r>
    </w:p>
    <w:bookmarkEnd w:id="21"/>
    <w:bookmarkStart w:id="22" w:name="why-it-matters-the-business-drivers"/>
    <w:p>
      <w:pPr>
        <w:pStyle w:val="Heading3"/>
      </w:pPr>
      <w:r>
        <w:t xml:space="preserve">Why it matters (the business drivers)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Counterparty credit risk is a real loss channel.</w:t>
      </w:r>
      <w:r>
        <w:t xml:space="preserve"> </w:t>
      </w:r>
      <w:r>
        <w:t xml:space="preserve">When TD trades derivatives or financing with a counterparty, TD can end up</w:t>
      </w:r>
      <w:r>
        <w:t xml:space="preserve"> </w:t>
      </w:r>
      <w:r>
        <w:rPr>
          <w:iCs/>
          <w:i/>
        </w:rPr>
        <w:t xml:space="preserve">owed money</w:t>
      </w:r>
      <w:r>
        <w:t xml:space="preserve"> </w:t>
      </w:r>
      <w:r>
        <w:t xml:space="preserve">by that counterparty. If the counterparty defaults while owing TD, TD takes a loss. Credit Risk’s job is to measure and limit that exposure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it becomes a loss.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Stress testing reveals the tail.</w:t>
      </w:r>
      <w:r>
        <w:t xml:space="preserve"> </w:t>
      </w:r>
      <w:r>
        <w:t xml:space="preserve">Normal-market exposure can look modest, but a 2008-style shock can multiply it. The business needs to see</w:t>
      </w:r>
      <w:r>
        <w:t xml:space="preserve"> </w:t>
      </w:r>
      <w:r>
        <w:t xml:space="preserve">“</w:t>
      </w:r>
      <w:r>
        <w:t xml:space="preserve">how bad could this get</w:t>
      </w:r>
      <w:r>
        <w:t xml:space="preserve">”</w:t>
      </w:r>
      <w:r>
        <w:t xml:space="preserve"> </w:t>
      </w:r>
      <w:r>
        <w:t xml:space="preserve">— not just today’s number.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Limits are how the bank controls appetite.</w:t>
      </w:r>
      <w:r>
        <w:t xml:space="preserve"> </w:t>
      </w:r>
      <w:r>
        <w:t xml:space="preserve">Each counterparty/line has limits. A</w:t>
      </w:r>
      <w:r>
        <w:t xml:space="preserve"> </w:t>
      </w:r>
      <w:r>
        <w:rPr>
          <w:bCs/>
          <w:b/>
        </w:rPr>
        <w:t xml:space="preserve">breach</w:t>
      </w:r>
      <w:r>
        <w:t xml:space="preserve"> </w:t>
      </w:r>
      <w:r>
        <w:t xml:space="preserve">(exposure over limit) is a signal that requires attention, escalation, or action (reduce positions, demand collateral, etc.).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Governance.</w:t>
      </w:r>
      <w:r>
        <w:t xml:space="preserve"> </w:t>
      </w:r>
      <w:r>
        <w:t xml:space="preserve">The legacy report was assembled in spreadsheets — ungoverned calculations that can’t be audited or trusted as a single source of truth. The thesis here:</w:t>
      </w:r>
      <w:r>
        <w:t xml:space="preserve"> </w:t>
      </w:r>
      <w:r>
        <w:rPr>
          <w:iCs/>
          <w:i/>
        </w:rPr>
        <w:t xml:space="preserve">any calculation outside the registered semantic model is ungoverned.</w:t>
      </w:r>
      <w:r>
        <w:t xml:space="preserve"> </w:t>
      </w:r>
      <w:r>
        <w:t xml:space="preserve">By moving the logic into a Databricks → Mosaic semantic model → Strategy stack, the numbers become governed, versioned, and self-service.</w:t>
      </w:r>
    </w:p>
    <w:p>
      <w:pPr>
        <w:pStyle w:val="FirstParagraph"/>
      </w:pPr>
      <w:r>
        <w:rPr>
          <w:bCs/>
          <w:b/>
        </w:rPr>
        <w:t xml:space="preserve">Who reads it:</w:t>
      </w:r>
      <w:r>
        <w:t xml:space="preserve"> </w:t>
      </w:r>
      <w:r>
        <w:t xml:space="preserve">a credit-risk analyst (like the person these notes are for), reviewing a counterparty, deciding whether a stressed breach needs action, and recording why.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4" w:name="the-core-concepts"/>
    <w:p>
      <w:pPr>
        <w:pStyle w:val="Heading2"/>
      </w:pPr>
      <w:r>
        <w:t xml:space="preserve">2. The Core Concepts</w:t>
      </w:r>
    </w:p>
    <w:p>
      <w:pPr>
        <w:pStyle w:val="FirstParagraph"/>
      </w:pPr>
      <w:r>
        <w:t xml:space="preserve">This is the heart of the business understanding. Read this section even if you skip the rest.</w:t>
      </w:r>
    </w:p>
    <w:bookmarkStart w:id="24" w:name="counterparty-credit-risk-ccr"/>
    <w:p>
      <w:pPr>
        <w:pStyle w:val="Heading3"/>
      </w:pPr>
      <w:r>
        <w:t xml:space="preserve">2.1 Counterparty Credit Risk (CCR)</w:t>
      </w:r>
    </w:p>
    <w:p>
      <w:pPr>
        <w:pStyle w:val="FirstParagraph"/>
      </w:pPr>
      <w:r>
        <w:rPr>
          <w:bCs/>
          <w:b/>
        </w:rPr>
        <w:t xml:space="preserve">Plain version:</w:t>
      </w:r>
      <w:r>
        <w:t xml:space="preserve"> </w:t>
      </w:r>
      <w:r>
        <w:t xml:space="preserve">the risk that someone TD trades with fails to pay what they owe.</w:t>
      </w:r>
    </w:p>
    <w:p>
      <w:pPr>
        <w:pStyle w:val="BodyText"/>
      </w:pPr>
      <w:r>
        <w:rPr>
          <w:bCs/>
          <w:b/>
        </w:rPr>
        <w:t xml:space="preserve">Real-life analogy:</w:t>
      </w:r>
      <w:r>
        <w:t xml:space="preserve"> </w:t>
      </w:r>
      <w:r>
        <w:t xml:space="preserve">lending a friend money is</w:t>
      </w:r>
      <w:r>
        <w:t xml:space="preserve"> </w:t>
      </w:r>
      <w:r>
        <w:rPr>
          <w:iCs/>
          <w:i/>
        </w:rPr>
        <w:t xml:space="preserve">credit risk</w:t>
      </w:r>
      <w:r>
        <w:t xml:space="preserve">. But CCR is subtler — it’s like co-signing a deal whose value swings. You might be</w:t>
      </w:r>
      <w:r>
        <w:t xml:space="preserve"> </w:t>
      </w:r>
      <w:r>
        <w:rPr>
          <w:iCs/>
          <w:i/>
        </w:rPr>
        <w:t xml:space="preserve">owed</w:t>
      </w:r>
      <w:r>
        <w:t xml:space="preserve"> </w:t>
      </w:r>
      <w:r>
        <w:t xml:space="preserve">money one month and</w:t>
      </w:r>
      <w:r>
        <w:t xml:space="preserve"> </w:t>
      </w:r>
      <w:r>
        <w:rPr>
          <w:iCs/>
          <w:i/>
        </w:rPr>
        <w:t xml:space="preserve">owe</w:t>
      </w:r>
      <w:r>
        <w:t xml:space="preserve"> </w:t>
      </w:r>
      <w:r>
        <w:t xml:space="preserve">money the next, depending on the market. You only lose if (a) they owe you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(b) they default at that moment.</w:t>
      </w:r>
    </w:p>
    <w:p>
      <w:pPr>
        <w:pStyle w:val="BodyText"/>
      </w:pPr>
      <w:r>
        <w:rPr>
          <w:bCs/>
          <w:b/>
        </w:rPr>
        <w:t xml:space="preserve">Example:</w:t>
      </w:r>
      <w:r>
        <w:t xml:space="preserve"> </w:t>
      </w:r>
      <w:r>
        <w:t xml:space="preserve">TD enters a 5-year interest-rate swap with AGNC. At inception it’s worth ~$0 to both sides. Six months later, rates have moved and the swap is worth</w:t>
      </w:r>
      <w:r>
        <w:t xml:space="preserve"> </w:t>
      </w:r>
      <w:r>
        <w:rPr>
          <w:bCs/>
          <w:b/>
        </w:rPr>
        <w:t xml:space="preserve">+$10M to TD</w:t>
      </w:r>
      <w:r>
        <w:t xml:space="preserve"> </w:t>
      </w:r>
      <w:r>
        <w:t xml:space="preserve">(AGNC owes TD $10M of mark-to-market value). If AGNC defaults right then, TD loses that $10M. That $10M is TD’s</w:t>
      </w:r>
      <w:r>
        <w:t xml:space="preserve"> </w:t>
      </w:r>
      <w:r>
        <w:rPr>
          <w:iCs/>
          <w:i/>
        </w:rPr>
        <w:t xml:space="preserve">exposure</w:t>
      </w:r>
      <w:r>
        <w:t xml:space="preserve"> </w:t>
      </w:r>
      <w:r>
        <w:t xml:space="preserve">at that moment.</w:t>
      </w:r>
    </w:p>
    <w:bookmarkEnd w:id="24"/>
    <w:bookmarkStart w:id="25" w:name="X3d05a347e4930e3abc7940480d5043f7712ac37"/>
    <w:p>
      <w:pPr>
        <w:pStyle w:val="Heading3"/>
      </w:pPr>
      <w:r>
        <w:t xml:space="preserve">2.2 Potential Future Exposure (PFE) — the key metric</w:t>
      </w:r>
    </w:p>
    <w:p>
      <w:pPr>
        <w:pStyle w:val="FirstParagraph"/>
      </w:pPr>
      <w:r>
        <w:t xml:space="preserve">Exposure today is knowable. Exposure</w:t>
      </w:r>
      <w:r>
        <w:t xml:space="preserve"> </w:t>
      </w:r>
      <w:r>
        <w:rPr>
          <w:iCs/>
          <w:i/>
        </w:rPr>
        <w:t xml:space="preserve">in the future</w:t>
      </w:r>
      <w:r>
        <w:t xml:space="preserve"> </w:t>
      </w:r>
      <w:r>
        <w:t xml:space="preserve">is not — it depends on where the market goes.</w:t>
      </w:r>
      <w:r>
        <w:t xml:space="preserve"> </w:t>
      </w:r>
      <w:r>
        <w:rPr>
          <w:bCs/>
          <w:b/>
        </w:rPr>
        <w:t xml:space="preserve">PFE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simulated estimate of how large the exposure could plausibly become</w:t>
      </w:r>
      <w:r>
        <w:t xml:space="preserve"> </w:t>
      </w:r>
      <w:r>
        <w:t xml:space="preserve">over the life of the trades.</w:t>
      </w:r>
    </w:p>
    <w:p>
      <w:pPr>
        <w:pStyle w:val="BodyText"/>
      </w:pPr>
      <w:r>
        <w:rPr>
          <w:bCs/>
          <w:b/>
        </w:rPr>
        <w:t xml:space="preserve">How it’s produced:</w:t>
      </w:r>
      <w:r>
        <w:t xml:space="preserve"> </w:t>
      </w:r>
      <w:r>
        <w:t xml:space="preserve">the SCREAM engine runs a</w:t>
      </w:r>
      <w:r>
        <w:t xml:space="preserve"> </w:t>
      </w:r>
      <w:r>
        <w:rPr>
          <w:bCs/>
          <w:b/>
        </w:rPr>
        <w:t xml:space="preserve">Monte Carlo simulation</w:t>
      </w:r>
      <w:r>
        <w:t xml:space="preserve"> </w:t>
      </w:r>
      <w:r>
        <w:t xml:space="preserve">— thousands of possible future market paths — revalues TD’s positions on each path, and takes a high percentile of the exposure distribution. That percentile is the PFE.</w:t>
      </w:r>
    </w:p>
    <w:p>
      <w:pPr>
        <w:pStyle w:val="BodyText"/>
      </w:pPr>
      <w:r>
        <w:rPr>
          <w:bCs/>
          <w:b/>
        </w:rPr>
        <w:t xml:space="preserve">Real-life analogy:</w:t>
      </w:r>
      <w:r>
        <w:t xml:space="preserve"> </w:t>
      </w:r>
      <w:r>
        <w:t xml:space="preserve">a weather forecast doesn’t say</w:t>
      </w:r>
      <w:r>
        <w:t xml:space="preserve"> </w:t>
      </w:r>
      <w:r>
        <w:t xml:space="preserve">“</w:t>
      </w:r>
      <w:r>
        <w:t xml:space="preserve">it will rain 4mm.</w:t>
      </w:r>
      <w:r>
        <w:t xml:space="preserve">”</w:t>
      </w:r>
      <w:r>
        <w:t xml:space="preserve"> </w:t>
      </w:r>
      <w:r>
        <w:t xml:space="preserve">It says</w:t>
      </w:r>
      <w:r>
        <w:t xml:space="preserve"> </w:t>
      </w:r>
      <w:r>
        <w:t xml:space="preserve">“</w:t>
      </w:r>
      <w:r>
        <w:t xml:space="preserve">90th-percentile rainfall could be 30mm.</w:t>
      </w:r>
      <w:r>
        <w:t xml:space="preserve">”</w:t>
      </w:r>
      <w:r>
        <w:t xml:space="preserve"> </w:t>
      </w:r>
      <w:r>
        <w:t xml:space="preserve">PFE is the 90th-percentile (or similar) of</w:t>
      </w:r>
      <w:r>
        <w:t xml:space="preserve"> </w:t>
      </w:r>
      <w:r>
        <w:rPr>
          <w:iCs/>
          <w:i/>
        </w:rPr>
        <w:t xml:space="preserve">future exposure</w:t>
      </w:r>
      <w:r>
        <w:t xml:space="preserve">, not the average.</w:t>
      </w:r>
    </w:p>
    <w:p>
      <w:pPr>
        <w:pStyle w:val="BodyText"/>
      </w:pPr>
      <w:r>
        <w:rPr>
          <w:bCs/>
          <w:b/>
        </w:rPr>
        <w:t xml:space="preserve">Why the business cares:</w:t>
      </w:r>
      <w:r>
        <w:t xml:space="preserve"> </w:t>
      </w:r>
      <w:r>
        <w:t xml:space="preserve">TD sets limits against PFE, not today’s tiny exposure, because the</w:t>
      </w:r>
      <w:r>
        <w:t xml:space="preserve"> </w:t>
      </w:r>
      <w:r>
        <w:rPr>
          <w:iCs/>
          <w:i/>
        </w:rPr>
        <w:t xml:space="preserve">potential</w:t>
      </w:r>
      <w:r>
        <w:t xml:space="preserve"> </w:t>
      </w:r>
      <w:r>
        <w:t xml:space="preserve">is what can hurt.</w:t>
      </w:r>
    </w:p>
    <w:bookmarkEnd w:id="25"/>
    <w:bookmarkStart w:id="26" w:name="X741595bf8aa1cc4a2db9a0d8b14338b13ccabcc"/>
    <w:p>
      <w:pPr>
        <w:pStyle w:val="Heading3"/>
      </w:pPr>
      <w:r>
        <w:t xml:space="preserve">2.3 Tenor / Time Buckets — exposure has a maturity profile</w:t>
      </w:r>
    </w:p>
    <w:p>
      <w:pPr>
        <w:pStyle w:val="FirstParagraph"/>
      </w:pPr>
      <w:r>
        <w:t xml:space="preserve">Exposure isn’t a single number; it changes over the life of the trades. So PFE is measured across</w:t>
      </w:r>
      <w:r>
        <w:t xml:space="preserve"> </w:t>
      </w:r>
      <w:r>
        <w:rPr>
          <w:bCs/>
          <w:b/>
        </w:rPr>
        <w:t xml:space="preserve">time buckets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0–3 Mo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3–12 Mo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1–2 Yr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2–5 Yr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5–10 Yr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10–50 Yr</w:t>
      </w:r>
    </w:p>
    <w:p>
      <w:pPr>
        <w:pStyle w:val="BodyText"/>
      </w:pPr>
      <w:r>
        <w:rPr>
          <w:bCs/>
          <w:b/>
        </w:rPr>
        <w:t xml:space="preserve">Real-life analogy:</w:t>
      </w:r>
      <w:r>
        <w:t xml:space="preserve"> </w:t>
      </w:r>
      <w:r>
        <w:t xml:space="preserve">a mortgage’s risk profile changes over 30 years. Likewise, a swap’s potential exposure might be small near-term and peak years out.</w:t>
      </w:r>
    </w:p>
    <w:p>
      <w:pPr>
        <w:pStyle w:val="BodyText"/>
      </w:pPr>
      <w:r>
        <w:rPr>
          <w:bCs/>
          <w:b/>
        </w:rPr>
        <w:t xml:space="preserve">Example (AGNC):</w:t>
      </w:r>
      <w:r>
        <w:t xml:space="preserve"> </w:t>
      </w:r>
      <w:r>
        <w:t xml:space="preserve">AGNC’s potential exposure is small in</w:t>
      </w:r>
      <w:r>
        <w:t xml:space="preserve"> </w:t>
      </w:r>
      <w:r>
        <w:rPr>
          <w:rStyle w:val="VerbatimChar"/>
        </w:rPr>
        <w:t xml:space="preserve">0–3 Mo</w:t>
      </w:r>
      <w:r>
        <w:t xml:space="preserve"> </w:t>
      </w:r>
      <w:r>
        <w:t xml:space="preserve">but</w:t>
      </w:r>
      <w:r>
        <w:t xml:space="preserve"> </w:t>
      </w:r>
      <w:r>
        <w:rPr>
          <w:bCs/>
          <w:b/>
        </w:rPr>
        <w:t xml:space="preserve">balloons in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2–5 Yr</w:t>
      </w:r>
      <w:r>
        <w:rPr>
          <w:bCs/>
          <w:b/>
        </w:rPr>
        <w:t xml:space="preserve"> </w:t>
      </w:r>
      <w:r>
        <w:rPr>
          <w:bCs/>
          <w:b/>
        </w:rPr>
        <w:t xml:space="preserve">bucket</w:t>
      </w:r>
      <w:r>
        <w:t xml:space="preserve"> </w:t>
      </w:r>
      <w:r>
        <w:t xml:space="preserve">— which, as we’ll see, is exactly where its largest breach sits.</w:t>
      </w:r>
    </w:p>
    <w:bookmarkEnd w:id="26"/>
    <w:bookmarkStart w:id="27" w:name="max-usage-and-limits-utilization"/>
    <w:p>
      <w:pPr>
        <w:pStyle w:val="Heading3"/>
      </w:pPr>
      <w:r>
        <w:t xml:space="preserve">2.4 Max Usage and Limits — utilization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Limit:</w:t>
      </w:r>
      <w:r>
        <w:t xml:space="preserve"> </w:t>
      </w:r>
      <w:r>
        <w:t xml:space="preserve">the maximum exposure TD is willing to carry on a line, set per tenor bucket. It encodes credit appetite.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Max Usage:</w:t>
      </w:r>
      <w:r>
        <w:t xml:space="preserve"> </w:t>
      </w:r>
      <w:r>
        <w:t xml:space="preserve">the peak PFE within a bucket under a scenario — i.e. </w:t>
      </w:r>
      <w:r>
        <w:rPr>
          <w:bCs/>
          <w:b/>
        </w:rPr>
        <w:t xml:space="preserve">how much of the limit the exposure consumes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Real-life analogy: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credit card</w:t>
      </w:r>
      <w:r>
        <w:t xml:space="preserve">. The limit is your credit line; usage is what you’ve charged. Go over the limit → a breach.</w:t>
      </w:r>
    </w:p>
    <w:p>
      <w:pPr>
        <w:pStyle w:val="BodyText"/>
      </w:pPr>
      <w:r>
        <w:rPr>
          <w:bCs/>
          <w:b/>
        </w:rPr>
        <w:t xml:space="preserve">Example:</w:t>
      </w:r>
      <w:r>
        <w:t xml:space="preserve"> </w:t>
      </w:r>
      <w:r>
        <w:t xml:space="preserve">if AGNC’s</w:t>
      </w:r>
      <w:r>
        <w:t xml:space="preserve"> </w:t>
      </w:r>
      <w:r>
        <w:rPr>
          <w:rStyle w:val="VerbatimChar"/>
        </w:rPr>
        <w:t xml:space="preserve">2–5 Yr</w:t>
      </w:r>
      <w:r>
        <w:t xml:space="preserve"> </w:t>
      </w:r>
      <w:r>
        <w:t xml:space="preserve">limit is $10M and the stressed Max Usage is $12.3M, the line is</w:t>
      </w:r>
      <w:r>
        <w:t xml:space="preserve"> </w:t>
      </w:r>
      <w:r>
        <w:rPr>
          <w:bCs/>
          <w:b/>
        </w:rPr>
        <w:t xml:space="preserve">over limit in that bucket</w:t>
      </w:r>
      <w:r>
        <w:t xml:space="preserve"> </w:t>
      </w:r>
      <w:r>
        <w:t xml:space="preserve">— a breach.</w:t>
      </w:r>
    </w:p>
    <w:bookmarkEnd w:id="27"/>
    <w:bookmarkStart w:id="28" w:name="X28395d53b27daa3601249a637f4dd001e02131e"/>
    <w:p>
      <w:pPr>
        <w:pStyle w:val="Heading3"/>
      </w:pPr>
      <w:r>
        <w:t xml:space="preserve">2.5 Standard / Current Exposure vs Stressed Exposure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Standard / Current Exposure:</w:t>
      </w:r>
      <w:r>
        <w:t xml:space="preserve"> </w:t>
      </w:r>
      <w:r>
        <w:t xml:space="preserve">PFE under</w:t>
      </w:r>
      <w:r>
        <w:t xml:space="preserve"> </w:t>
      </w:r>
      <w:r>
        <w:rPr>
          <w:iCs/>
          <w:i/>
        </w:rPr>
        <w:t xml:space="preserve">normal</w:t>
      </w:r>
      <w:r>
        <w:t xml:space="preserve"> </w:t>
      </w:r>
      <w:r>
        <w:t xml:space="preserve">market assumptions (the unstressed base case).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Stressed Exposure:</w:t>
      </w:r>
      <w:r>
        <w:t xml:space="preserve"> </w:t>
      </w:r>
      <w:r>
        <w:t xml:space="preserve">PFE after re-running the simulation under a</w:t>
      </w:r>
      <w:r>
        <w:t xml:space="preserve"> </w:t>
      </w:r>
      <w:r>
        <w:rPr>
          <w:bCs/>
          <w:b/>
        </w:rPr>
        <w:t xml:space="preserve">stress scenario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Example (AGNC,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2–5 Yr</w:t>
      </w:r>
      <w:r>
        <w:rPr>
          <w:bCs/>
          <w:b/>
        </w:rPr>
        <w:t xml:space="preserve">):</w:t>
      </w:r>
      <w:r>
        <w:t xml:space="preserve"> </w:t>
      </w:r>
      <w:r>
        <w:t xml:space="preserve">Current Exposure ≈</w:t>
      </w:r>
      <w:r>
        <w:t xml:space="preserve"> </w:t>
      </w:r>
      <w:r>
        <w:rPr>
          <w:bCs/>
          <w:b/>
        </w:rPr>
        <w:t xml:space="preserve">$296,801</w:t>
      </w:r>
      <w:r>
        <w:t xml:space="preserve">; Stressed Exposure ≈</w:t>
      </w:r>
      <w:r>
        <w:t xml:space="preserve"> </w:t>
      </w:r>
      <w:r>
        <w:rPr>
          <w:bCs/>
          <w:b/>
        </w:rPr>
        <w:t xml:space="preserve">$12,278,413</w:t>
      </w:r>
      <w:r>
        <w:t xml:space="preserve">. Stress makes the potential exposure roughly</w:t>
      </w:r>
      <w:r>
        <w:t xml:space="preserve"> </w:t>
      </w:r>
      <w:r>
        <w:rPr>
          <w:bCs/>
          <w:b/>
        </w:rPr>
        <w:t xml:space="preserve">40× larger</w:t>
      </w:r>
      <w:r>
        <w:t xml:space="preserve"> </w:t>
      </w:r>
      <w:r>
        <w:t xml:space="preserve">— that gap is the whole point of stress testing.</w:t>
      </w:r>
    </w:p>
    <w:bookmarkEnd w:id="28"/>
    <w:bookmarkStart w:id="29" w:name="Xff804327bd49801d2a8a079ae261a994546fd0d"/>
    <w:p>
      <w:pPr>
        <w:pStyle w:val="Heading3"/>
      </w:pPr>
      <w:r>
        <w:t xml:space="preserve">2.6 Stress Scenarios — why correlation and volatility</w:t>
      </w:r>
    </w:p>
    <w:p>
      <w:pPr>
        <w:pStyle w:val="FirstParagraph"/>
      </w:pPr>
      <w:r>
        <w:t xml:space="preserve">Stress scenarios re-run the simulation with</w:t>
      </w:r>
      <w:r>
        <w:t xml:space="preserve"> </w:t>
      </w:r>
      <w:r>
        <w:rPr>
          <w:bCs/>
          <w:b/>
        </w:rPr>
        <w:t xml:space="preserve">stressed correlations and volatilities</w:t>
      </w:r>
      <w:r>
        <w:t xml:space="preserve">. The most punishing ones crank</w:t>
      </w:r>
      <w:r>
        <w:t xml:space="preserve"> </w:t>
      </w:r>
      <w:r>
        <w:rPr>
          <w:bCs/>
          <w:b/>
        </w:rPr>
        <w:t xml:space="preserve">correlation toward 1.0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Why correlation matters (real-life analogy):</w:t>
      </w:r>
      <w:r>
        <w:t xml:space="preserve"> </w:t>
      </w:r>
      <w:r>
        <w:t xml:space="preserve">a diversified stock portfolio is safe</w:t>
      </w:r>
      <w:r>
        <w:t xml:space="preserve"> </w:t>
      </w:r>
      <w:r>
        <w:rPr>
          <w:iCs/>
          <w:i/>
        </w:rPr>
        <w:t xml:space="preserve">because</w:t>
      </w:r>
      <w:r>
        <w:t xml:space="preserve"> </w:t>
      </w:r>
      <w:r>
        <w:t xml:space="preserve">its holdings don’t all move together — some rise while others fall. But in a crash (2008, March 2020),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all correlations go to 1</w:t>
      </w:r>
      <w:r>
        <w:rPr>
          <w:bCs/>
          <w:b/>
        </w:rPr>
        <w:t xml:space="preserve">”</w:t>
      </w:r>
      <w:r>
        <w:t xml:space="preserve">: everything falls at once, diversification evaporates, and losses spike. Stress scenarios deliberately simulate that breakdown.</w:t>
      </w:r>
    </w:p>
    <w:p>
      <w:pPr>
        <w:pStyle w:val="BodyText"/>
      </w:pPr>
      <w:r>
        <w:t xml:space="preserve">The scenarios in our data (engine codes, then the descriptive names from the tearsheet legend):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Engine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shorthand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Descriptive name (tearsheet legend)*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Cartor /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(≈ Current Exposure)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ZeroCorrelation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Volatility &amp; Correlation-0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Correlation_0.25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Volatility &amp; Intermediate-Market-0 Correlation*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Correlation_0.75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Volatility &amp; Intermediate-Market-1 Correlation*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Correlation_1.0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Volatility &amp; Correlation-1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STRMARKETC75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STRMARKETC75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Volatility &amp; Market Correlation*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STRMPR025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STRMPR025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STRMPR025</w:t>
            </w:r>
          </w:p>
        </w:tc>
      </w:tr>
    </w:tbl>
    <w:p>
      <w:pPr>
        <w:pStyle w:val="BodyText"/>
      </w:pPr>
      <w:r>
        <w:t xml:space="preserve">* The descriptive-name mapping for the three starred rows is a</w:t>
      </w:r>
      <w:r>
        <w:t xml:space="preserve"> </w:t>
      </w:r>
      <w:r>
        <w:rPr>
          <w:bCs/>
          <w:b/>
        </w:rPr>
        <w:t xml:space="preserve">blueprint placeholder</w:t>
      </w:r>
      <w:r>
        <w:t xml:space="preserve"> </w:t>
      </w:r>
      <w:r>
        <w:t xml:space="preserve">read off the sample legend and</w:t>
      </w:r>
      <w:r>
        <w:t xml:space="preserve"> </w:t>
      </w:r>
      <w:r>
        <w:rPr>
          <w:bCs/>
          <w:b/>
        </w:rPr>
        <w:t xml:space="preserve">not yet validated</w:t>
      </w:r>
      <w:r>
        <w:t xml:space="preserve"> </w:t>
      </w:r>
      <w:r>
        <w:t xml:space="preserve">against a scenario dictionary — see §8.3 and §9.</w:t>
      </w:r>
    </w:p>
    <w:p>
      <w:pPr>
        <w:pStyle w:val="BodyText"/>
      </w:pPr>
      <w:r>
        <w:rPr>
          <w:bCs/>
          <w:b/>
        </w:rPr>
        <w:t xml:space="preserve">Why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Correlation_1.0</w:t>
      </w:r>
      <w:r>
        <w:rPr>
          <w:bCs/>
          <w:b/>
        </w:rPr>
        <w:t xml:space="preserve"> </w:t>
      </w:r>
      <w:r>
        <w:rPr>
          <w:bCs/>
          <w:b/>
        </w:rPr>
        <w:t xml:space="preserve">is often the binding scenario:</w:t>
      </w:r>
      <w:r>
        <w:t xml:space="preserve"> </w:t>
      </w:r>
      <w:r>
        <w:t xml:space="preserve">it removes all diversification benefit, so offsetting positions stop offsetting and exposure is maximised.</w:t>
      </w:r>
    </w:p>
    <w:bookmarkEnd w:id="29"/>
    <w:bookmarkStart w:id="30" w:name="X67acd80caab4c68a4ac363fdc314b1d8ca53de7"/>
    <w:p>
      <w:pPr>
        <w:pStyle w:val="Heading3"/>
      </w:pPr>
      <w:r>
        <w:t xml:space="preserve">2.7 Breach — and why it’s not just</w:t>
      </w:r>
      <w:r>
        <w:t xml:space="preserve"> </w:t>
      </w:r>
      <w:r>
        <w:t xml:space="preserve">“</w:t>
      </w:r>
      <w:r>
        <w:t xml:space="preserve">over the limit</w:t>
      </w:r>
      <w:r>
        <w:t xml:space="preserve">”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breach</w:t>
      </w:r>
      <w:r>
        <w:t xml:space="preserve"> </w:t>
      </w:r>
      <w:r>
        <w:t xml:space="preserve">is not simply Max Usage &gt; Limit. The business rule (from the spec, pre-computed in our data) requires</w:t>
      </w:r>
      <w:r>
        <w:t xml:space="preserve"> </w:t>
      </w:r>
      <w:r>
        <w:rPr>
          <w:bCs/>
          <w:b/>
        </w:rPr>
        <w:t xml:space="preserve">both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t xml:space="preserve">Max Usage &gt; Limit × (Excess% + 1),</w:t>
      </w:r>
      <w:r>
        <w:t xml:space="preserve"> </w:t>
      </w:r>
      <w:r>
        <w:rPr>
          <w:bCs/>
          <w:b/>
        </w:rPr>
        <w:t xml:space="preserve">and</w:t>
      </w:r>
    </w:p>
    <w:p>
      <w:pPr>
        <w:numPr>
          <w:ilvl w:val="0"/>
          <w:numId w:val="1005"/>
        </w:numPr>
        <w:pStyle w:val="Compact"/>
      </w:pPr>
      <w:r>
        <w:t xml:space="preserve">Max Usage &gt; Limit + a rating-based buffer.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Excess%</w:t>
      </w:r>
      <w:r>
        <w:t xml:space="preserve"> </w:t>
      </w:r>
      <w:r>
        <w:t xml:space="preserve">and buffer come from the</w:t>
      </w:r>
      <w:r>
        <w:t xml:space="preserve"> </w:t>
      </w:r>
      <w:r>
        <w:rPr>
          <w:bCs/>
          <w:b/>
        </w:rPr>
        <w:t xml:space="preserve">Credit Limit Threshold</w:t>
      </w:r>
      <w:r>
        <w:t xml:space="preserve"> </w:t>
      </w:r>
      <w:r>
        <w:t xml:space="preserve">table, keyed on the counterparty’s</w:t>
      </w:r>
      <w:r>
        <w:t xml:space="preserve"> </w:t>
      </w:r>
      <w:r>
        <w:rPr>
          <w:bCs/>
          <w:b/>
        </w:rPr>
        <w:t xml:space="preserve">worst rating</w:t>
      </w:r>
      <w:r>
        <w:t xml:space="preserve"> </w:t>
      </w:r>
      <w:r>
        <w:t xml:space="preserve">(use the leading number only — e.g. rating</w:t>
      </w:r>
      <w:r>
        <w:t xml:space="preserve"> </w:t>
      </w:r>
      <w:r>
        <w:rPr>
          <w:rStyle w:val="VerbatimChar"/>
        </w:rPr>
        <w:t xml:space="preserve">"4A"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Worst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Excess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or worse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</w:tbl>
    <w:p>
      <w:pPr>
        <w:pStyle w:val="BodyText"/>
      </w:pPr>
      <w:r>
        <w:rPr>
          <w:bCs/>
          <w:b/>
        </w:rPr>
        <w:t xml:space="preserve">Worked example (AGNC, rating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4A</w:t>
      </w:r>
      <w:r>
        <w:rPr>
          <w:bCs/>
          <w:b/>
        </w:rPr>
        <w:t xml:space="preserve"> </w:t>
      </w:r>
      <w:r>
        <w:rPr>
          <w:bCs/>
          <w:b/>
        </w:rPr>
        <w:t xml:space="preserve">→ 4):</w:t>
      </w:r>
      <w:r>
        <w:t xml:space="preserve"> </w:t>
      </w:r>
      <w:r>
        <w:t xml:space="preserve">limit band $10M, excess 30%. A bucket breaches only if stressed Max Usage exceeds</w:t>
      </w:r>
      <w:r>
        <w:t xml:space="preserve"> </w:t>
      </w:r>
      <w:r>
        <w:rPr>
          <w:bCs/>
          <w:b/>
        </w:rPr>
        <w:t xml:space="preserve">$10M × 1.30 = $13M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exceeds $10M + buffer. This two-part test prevents trivial, just-barely-over noise from being flagged as a breach — the business only wants</w:t>
      </w:r>
      <w:r>
        <w:t xml:space="preserve"> </w:t>
      </w:r>
      <w:r>
        <w:rPr>
          <w:iCs/>
          <w:i/>
        </w:rPr>
        <w:t xml:space="preserve">material</w:t>
      </w:r>
      <w:r>
        <w:t xml:space="preserve"> </w:t>
      </w:r>
      <w:r>
        <w:t xml:space="preserve">breaches escalated.</w:t>
      </w:r>
    </w:p>
    <w:p>
      <w:pPr>
        <w:pStyle w:val="BodyText"/>
      </w:pPr>
      <w:r>
        <w:rPr>
          <w:bCs/>
          <w:b/>
        </w:rPr>
        <w:t xml:space="preserve">Why two conditions (business intent):</w:t>
      </w:r>
      <w:r>
        <w:t xml:space="preserve"> </w:t>
      </w:r>
      <w:r>
        <w:t xml:space="preserve">the percentage test scales with limit size (a 5% overshoot on a huge limit can be large in dollars); the buffer test guards small limits. Together they define a</w:t>
      </w:r>
      <w:r>
        <w:t xml:space="preserve"> </w:t>
      </w:r>
      <w:r>
        <w:rPr>
          <w:iCs/>
          <w:i/>
        </w:rPr>
        <w:t xml:space="preserve">meaningful</w:t>
      </w:r>
      <w:r>
        <w:t xml:space="preserve"> </w:t>
      </w:r>
      <w:r>
        <w:t xml:space="preserve">breach.</w:t>
      </w:r>
    </w:p>
    <w:bookmarkEnd w:id="30"/>
    <w:bookmarkStart w:id="31" w:name="gross-vs-net-netting-and-collateral-csa"/>
    <w:p>
      <w:pPr>
        <w:pStyle w:val="Heading3"/>
      </w:pPr>
      <w:r>
        <w:t xml:space="preserve">2.8 Gross vs Net, Netting, and Collateral (CSA)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Gross exposure:</w:t>
      </w:r>
      <w:r>
        <w:t xml:space="preserve"> </w:t>
      </w:r>
      <w:r>
        <w:t xml:space="preserve">the sum of what TD is owed, ignoring offsets — the worst case before any mitigation.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Netting:</w:t>
      </w:r>
      <w:r>
        <w:t xml:space="preserve"> </w:t>
      </w:r>
      <w:r>
        <w:t xml:space="preserve">under an</w:t>
      </w:r>
      <w:r>
        <w:t xml:space="preserve"> </w:t>
      </w:r>
      <w:r>
        <w:rPr>
          <w:bCs/>
          <w:b/>
        </w:rPr>
        <w:t xml:space="preserve">ISDA master agreement</w:t>
      </w:r>
      <w:r>
        <w:t xml:space="preserve">, TD’s many trades with one counterparty offset.</w:t>
      </w:r>
      <w:r>
        <w:t xml:space="preserve"> </w:t>
      </w:r>
      <w:r>
        <w:rPr>
          <w:iCs/>
          <w:i/>
        </w:rPr>
        <w:t xml:space="preserve">Example:</w:t>
      </w:r>
      <w:r>
        <w:t xml:space="preserve"> </w:t>
      </w:r>
      <w:r>
        <w:t xml:space="preserve">trades worth</w:t>
      </w:r>
      <w:r>
        <w:t xml:space="preserve"> </w:t>
      </w:r>
      <w:r>
        <w:rPr>
          <w:bCs/>
          <w:b/>
        </w:rPr>
        <w:t xml:space="preserve">+$20M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−$15M</w:t>
      </w:r>
      <w:r>
        <w:t xml:space="preserve"> </w:t>
      </w:r>
      <w:r>
        <w:t xml:space="preserve">net to</w:t>
      </w:r>
      <w:r>
        <w:t xml:space="preserve"> </w:t>
      </w:r>
      <w:r>
        <w:rPr>
          <w:bCs/>
          <w:b/>
        </w:rPr>
        <w:t xml:space="preserve">$5M</w:t>
      </w:r>
      <w:r>
        <w:t xml:space="preserve"> </w:t>
      </w:r>
      <w:r>
        <w:t xml:space="preserve">of exposure, not $20M.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Collateral / CSA (Credit Support Annex):</w:t>
      </w:r>
      <w:r>
        <w:t xml:space="preserve"> </w:t>
      </w:r>
      <w:r>
        <w:t xml:space="preserve">an agreement to post collateral as exposure grows.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CSA Direction</w:t>
      </w:r>
      <w:r>
        <w:t xml:space="preserve"> </w:t>
      </w:r>
      <w:r>
        <w:t xml:space="preserve">(e.g. </w:t>
      </w:r>
      <w:r>
        <w:rPr>
          <w:bCs/>
          <w:b/>
        </w:rPr>
        <w:t xml:space="preserve">2-Way CSA</w:t>
      </w:r>
      <w:r>
        <w:t xml:space="preserve">): both sides post collateral.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CP Threshold:</w:t>
      </w:r>
      <w:r>
        <w:t xml:space="preserve"> </w:t>
      </w:r>
      <w:r>
        <w:t xml:space="preserve">how far the counterparty’s owing can grow before</w:t>
      </w:r>
      <w:r>
        <w:t xml:space="preserve"> </w:t>
      </w:r>
      <w:r>
        <w:rPr>
          <w:iCs/>
          <w:i/>
        </w:rPr>
        <w:t xml:space="preserve">they</w:t>
      </w:r>
      <w:r>
        <w:t xml:space="preserve"> </w:t>
      </w:r>
      <w:r>
        <w:t xml:space="preserve">must post collateral to TD.</w:t>
      </w:r>
      <w:r>
        <w:t xml:space="preserve"> </w:t>
      </w:r>
      <w:r>
        <w:rPr>
          <w:iCs/>
          <w:i/>
        </w:rPr>
        <w:t xml:space="preserve">Example:</w:t>
      </w:r>
      <w:r>
        <w:t xml:space="preserve"> </w:t>
      </w:r>
      <w:r>
        <w:t xml:space="preserve">CP threshold $5M, MTA $1M → once AGNC owes TD more than $5M, AGNC posts collateral (in $1M increments), capping TD’s</w:t>
      </w:r>
      <w:r>
        <w:t xml:space="preserve"> </w:t>
      </w:r>
      <w:r>
        <w:rPr>
          <w:iCs/>
          <w:i/>
        </w:rPr>
        <w:t xml:space="preserve">uncollateralized</w:t>
      </w:r>
      <w:r>
        <w:t xml:space="preserve"> </w:t>
      </w:r>
      <w:r>
        <w:t xml:space="preserve">exposure near $5M.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TD Threshold:</w:t>
      </w:r>
      <w:r>
        <w:t xml:space="preserve"> </w:t>
      </w:r>
      <w:r>
        <w:t xml:space="preserve">the mirror — how far TD’s owing can grow before</w:t>
      </w:r>
      <w:r>
        <w:t xml:space="preserve"> </w:t>
      </w:r>
      <w:r>
        <w:rPr>
          <w:iCs/>
          <w:i/>
        </w:rPr>
        <w:t xml:space="preserve">TD</w:t>
      </w:r>
      <w:r>
        <w:t xml:space="preserve"> </w:t>
      </w:r>
      <w:r>
        <w:t xml:space="preserve">posts collateral.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MTA (Minimum Transfer Amount):</w:t>
      </w:r>
      <w:r>
        <w:t xml:space="preserve"> </w:t>
      </w:r>
      <w:r>
        <w:t xml:space="preserve">collateral only moves in chunks ≥ MTA, to avoid tiny daily transfers.</w:t>
      </w:r>
    </w:p>
    <w:p>
      <w:pPr>
        <w:pStyle w:val="FirstParagraph"/>
      </w:pPr>
      <w:r>
        <w:rPr>
          <w:bCs/>
          <w:b/>
        </w:rPr>
        <w:t xml:space="preserve">Why it matters:</w:t>
      </w:r>
      <w:r>
        <w:t xml:space="preserve"> </w:t>
      </w:r>
      <w:r>
        <w:t xml:space="preserve">netting and collateral are the main reasons real exposure is far below gross. The tearsheet’s CSA section (annotation #2) tells the analyst what mitigation is in place.</w:t>
      </w:r>
    </w:p>
    <w:bookmarkEnd w:id="31"/>
    <w:bookmarkStart w:id="32" w:name="td-sub-intragroup-carve-out"/>
    <w:p>
      <w:pPr>
        <w:pStyle w:val="Heading3"/>
      </w:pPr>
      <w:r>
        <w:t xml:space="preserve">2.9 TD Sub (intragroup carve-out)</w:t>
      </w:r>
    </w:p>
    <w:p>
      <w:pPr>
        <w:pStyle w:val="FirstParagraph"/>
      </w:pPr>
      <w:r>
        <w:t xml:space="preserve">Some lines face</w:t>
      </w:r>
      <w:r>
        <w:t xml:space="preserve"> </w:t>
      </w:r>
      <w:r>
        <w:rPr>
          <w:bCs/>
          <w:b/>
        </w:rPr>
        <w:t xml:space="preserve">TD’s own entities</w:t>
      </w:r>
      <w:r>
        <w:t xml:space="preserve"> </w:t>
      </w:r>
      <w:r>
        <w:t xml:space="preserve">(e.g. </w:t>
      </w:r>
      <w:r>
        <w:rPr>
          <w:iCs/>
          <w:i/>
        </w:rPr>
        <w:t xml:space="preserve">TD Securities (USA) LLC</w:t>
      </w:r>
      <w:r>
        <w:t xml:space="preserve">). That’s TD lending to itself —</w:t>
      </w:r>
      <w:r>
        <w:t xml:space="preserve"> </w:t>
      </w:r>
      <w:r>
        <w:rPr>
          <w:bCs/>
          <w:b/>
        </w:rPr>
        <w:t xml:space="preserve">not external credit risk</w:t>
      </w:r>
      <w:r>
        <w:t xml:space="preserve"> </w:t>
      </w:r>
      <w:r>
        <w:t xml:space="preserve">— so those lines are flagged</w:t>
      </w:r>
      <w:r>
        <w:t xml:space="preserve"> </w:t>
      </w:r>
      <w:r>
        <w:rPr>
          <w:bCs/>
          <w:b/>
        </w:rPr>
        <w:t xml:space="preserve">TD Sub = Y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carved out of external breach reporting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Analogy:</w:t>
      </w:r>
      <w:r>
        <w:t xml:space="preserve"> </w:t>
      </w:r>
      <w:r>
        <w:t xml:space="preserve">moving money between your own checking and savings accounts isn’t</w:t>
      </w:r>
      <w:r>
        <w:t xml:space="preserve"> </w:t>
      </w:r>
      <w:r>
        <w:t xml:space="preserve">“</w:t>
      </w:r>
      <w:r>
        <w:t xml:space="preserve">lending</w:t>
      </w:r>
      <w:r>
        <w:t xml:space="preserve">”</w:t>
      </w:r>
      <w:r>
        <w:t xml:space="preserve"> </w:t>
      </w:r>
      <w:r>
        <w:t xml:space="preserve">— no credit risk to track.</w:t>
      </w:r>
    </w:p>
    <w:bookmarkEnd w:id="32"/>
    <w:bookmarkStart w:id="33" w:name="otc-vs-sft"/>
    <w:p>
      <w:pPr>
        <w:pStyle w:val="Heading3"/>
      </w:pPr>
      <w:r>
        <w:t xml:space="preserve">2.10 OTC vs SFT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OTC</w:t>
      </w:r>
      <w:r>
        <w:t xml:space="preserve"> </w:t>
      </w:r>
      <w:r>
        <w:t xml:space="preserve">= over-the-counter derivatives (swaps, options).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SFT</w:t>
      </w:r>
      <w:r>
        <w:t xml:space="preserve"> </w:t>
      </w:r>
      <w:r>
        <w:t xml:space="preserve">= Securities Financing Transactions (repo, securities lending).</w:t>
      </w:r>
      <w:r>
        <w:t xml:space="preserve"> </w:t>
      </w:r>
      <w:r>
        <w:t xml:space="preserve">The line/branch naming flags it: a code containing</w:t>
      </w:r>
      <w:r>
        <w:t xml:space="preserve"> </w:t>
      </w:r>
      <w:r>
        <w:rPr>
          <w:rStyle w:val="VerbatimChar"/>
        </w:rPr>
        <w:t xml:space="preserve">_DBL</w:t>
      </w:r>
      <w:r>
        <w:t xml:space="preserve">,</w:t>
      </w:r>
      <w:r>
        <w:t xml:space="preserve"> </w:t>
      </w:r>
      <w:r>
        <w:rPr>
          <w:rStyle w:val="VerbatimChar"/>
        </w:rPr>
        <w:t xml:space="preserve">_EBL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_BSB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SFT</w:t>
      </w:r>
      <w:r>
        <w:t xml:space="preserve">; otherwise</w:t>
      </w:r>
      <w:r>
        <w:t xml:space="preserve"> </w:t>
      </w:r>
      <w:r>
        <w:rPr>
          <w:bCs/>
          <w:b/>
        </w:rPr>
        <w:t xml:space="preserve">OTC</w:t>
      </w:r>
      <w:r>
        <w:t xml:space="preserve">. They have different risk dynamics, so the tearsheet distinguishes them.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the-data-landscape"/>
    <w:p>
      <w:pPr>
        <w:pStyle w:val="Heading2"/>
      </w:pPr>
      <w:r>
        <w:t xml:space="preserve">3. The Data Landscape</w:t>
      </w:r>
    </w:p>
    <w:bookmarkStart w:id="35" w:name="where-exposure-is-actually-calculated"/>
    <w:p>
      <w:pPr>
        <w:pStyle w:val="Heading3"/>
      </w:pPr>
      <w:r>
        <w:t xml:space="preserve">3.1 Where exposure is actually calculated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SCREAM engine</w:t>
      </w:r>
      <w:r>
        <w:t xml:space="preserve"> </w:t>
      </w:r>
      <w:r>
        <w:t xml:space="preserve">is the upstream Monte-Carlo simulator.</w:t>
      </w:r>
      <w:r>
        <w:t xml:space="preserve"> </w:t>
      </w:r>
      <w:r>
        <w:rPr>
          <w:bCs/>
          <w:b/>
        </w:rPr>
        <w:t xml:space="preserve">This is where PFE is computed.</w:t>
      </w:r>
      <w:r>
        <w:t xml:space="preserve"> </w:t>
      </w:r>
      <w:r>
        <w:t xml:space="preserve">Everything downstream (the AST tables, our views, Strategy) is</w:t>
      </w:r>
      <w:r>
        <w:t xml:space="preserve"> </w:t>
      </w:r>
      <w:r>
        <w:rPr>
          <w:bCs/>
          <w:b/>
        </w:rPr>
        <w:t xml:space="preserve">business aggregation and presentation</w:t>
      </w:r>
      <w:r>
        <w:t xml:space="preserve"> </w:t>
      </w:r>
      <w:r>
        <w:t xml:space="preserve">— choosing maxima across scenarios, flagging breaches, drawing charts.</w:t>
      </w:r>
      <w:r>
        <w:t xml:space="preserve"> </w:t>
      </w:r>
      <w:r>
        <w:rPr>
          <w:iCs/>
          <w:i/>
        </w:rPr>
        <w:t xml:space="preserve">No risk is re-calculated downstream.</w:t>
      </w:r>
      <w:r>
        <w:t xml:space="preserve"> </w:t>
      </w:r>
      <w:r>
        <w:t xml:space="preserve">This separation matters for governance: the risk number has one authoritative source.</w:t>
      </w:r>
    </w:p>
    <w:bookmarkEnd w:id="35"/>
    <w:bookmarkStart w:id="36" w:name="X89f1d028a324e1848ca369074a6285b8f5efdea"/>
    <w:p>
      <w:pPr>
        <w:pStyle w:val="Heading3"/>
      </w:pPr>
      <w:r>
        <w:t xml:space="preserve">3.2 The source feeds (SCREAM outputs, schema</w:t>
      </w:r>
      <w:r>
        <w:t xml:space="preserve"> </w:t>
      </w:r>
      <w:r>
        <w:rPr>
          <w:rStyle w:val="VerbatimChar"/>
        </w:rPr>
        <w:t xml:space="preserve">xvala_core-raw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is, in business 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lines_report.csv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published exposure-vs-limit numbers at line grain: Max Usage ×6 buckets, Limit ×6, Gross Max Exposure, worst rating.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clients_report.csv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counterparty reference: code, name, BIS code, country, industry, ratings, and the</w:t>
            </w:r>
            <w:r>
              <w:t xml:space="preserve"> </w:t>
            </w:r>
            <w:r>
              <w:rPr>
                <w:bCs/>
                <w:b/>
              </w:rPr>
              <w:t xml:space="preserve">netting/CSA agreement block</w:t>
            </w:r>
            <w:r>
              <w:t xml:space="preserve"> </w:t>
            </w:r>
            <w:r>
              <w:t xml:space="preserve">(ISDA/CSA/NET flags, Agreement ID/Type) — the gross-vs-net and collateral story.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exp_decomp_report.csv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Lineage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tall reconciliation feed that ties decomposed exposure back to</w:t>
            </w:r>
            <w:r>
              <w:t xml:space="preserve"> </w:t>
            </w:r>
            <w:r>
              <w:rPr>
                <w:rStyle w:val="VerbatimChar"/>
              </w:rPr>
              <w:t xml:space="preserve">lines_report</w:t>
            </w:r>
            <w:r>
              <w:t xml:space="preserve"> </w:t>
            </w:r>
            <w:r>
              <w:t xml:space="preserve">(a</w:t>
            </w:r>
            <w:r>
              <w:t xml:space="preserve"> </w:t>
            </w:r>
            <w:r>
              <w:rPr>
                <w:rStyle w:val="VerbatimChar"/>
              </w:rPr>
              <w:t xml:space="preserve">Difference</w:t>
            </w:r>
            <w:r>
              <w:t xml:space="preserve"> </w:t>
            </w:r>
            <w:r>
              <w:t xml:space="preserve">row = 0 proves the tie). Not a headline source.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Line_Exclusion_Table.csv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Governed exclusions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approval-workflow list removing internal test lines (</w:t>
            </w:r>
            <w:r>
              <w:t xml:space="preserve">“</w:t>
            </w:r>
            <w:r>
              <w:t xml:space="preserve">DESKTOP SCREAM CP</w:t>
            </w:r>
            <w: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limits.csv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live Credit Limit Threshold table (rating → limit, excess %).</w:t>
            </w:r>
          </w:p>
        </w:tc>
      </w:tr>
    </w:tbl>
    <w:bookmarkEnd w:id="36"/>
    <w:bookmarkStart w:id="37" w:name="Xde2bfdf267d842d107846ab2b953f76fe0c8594"/>
    <w:p>
      <w:pPr>
        <w:pStyle w:val="Heading3"/>
      </w:pPr>
      <w:r>
        <w:t xml:space="preserve">3.3 The AST output tables (schema</w:t>
      </w:r>
      <w:r>
        <w:t xml:space="preserve"> </w:t>
      </w:r>
      <w:r>
        <w:rPr>
          <w:rStyle w:val="VerbatimChar"/>
        </w:rPr>
        <w:t xml:space="preserve">xvala_xva</w:t>
      </w:r>
      <w:r>
        <w:t xml:space="preserve">, catalog</w:t>
      </w:r>
      <w:r>
        <w:t xml:space="preserve"> </w:t>
      </w:r>
      <w:r>
        <w:rPr>
          <w:rStyle w:val="VerbatimChar"/>
        </w:rPr>
        <w:t xml:space="preserve">d4001-centralus-tdvip-creditrisk</w:t>
      </w:r>
      <w:r>
        <w:t xml:space="preserve">)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AST</w:t>
      </w:r>
      <w:r>
        <w:t xml:space="preserve">”</w:t>
      </w:r>
      <w:r>
        <w:t xml:space="preserve"> </w:t>
      </w:r>
      <w:r>
        <w:t xml:space="preserve">process consumes the SCREAM feeds and produces two tables that the tearsheet is built 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asts</w:t>
      </w:r>
      <w:r>
        <w:t xml:space="preserve"> </w:t>
      </w:r>
      <w:r>
        <w:t xml:space="preserve">— the</w:t>
      </w:r>
      <w:r>
        <w:t xml:space="preserve"> </w:t>
      </w:r>
      <w:r>
        <w:rPr>
          <w:bCs/>
          <w:b/>
        </w:rPr>
        <w:t xml:space="preserve">detailed</w:t>
      </w:r>
      <w:r>
        <w:t xml:space="preserve"> </w:t>
      </w:r>
      <w:r>
        <w:t xml:space="preserve">table. Grain ≈</w:t>
      </w:r>
      <w:r>
        <w:t xml:space="preserve"> </w:t>
      </w:r>
      <w:r>
        <w:rPr>
          <w:bCs/>
          <w:b/>
        </w:rPr>
        <w:t xml:space="preserve">line × scenario</w:t>
      </w:r>
      <w:r>
        <w:t xml:space="preserve">, with the six time buckets laid out</w:t>
      </w:r>
      <w:r>
        <w:t xml:space="preserve"> </w:t>
      </w:r>
      <w:r>
        <w:rPr>
          <w:bCs/>
          <w:b/>
        </w:rPr>
        <w:t xml:space="preserve">wide</w:t>
      </w:r>
      <w:r>
        <w:t xml:space="preserve"> </w:t>
      </w:r>
      <w:r>
        <w:t xml:space="preserve">(one column per bucket). This is the workhorse for our build.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ats_summary</w:t>
      </w:r>
      <w:r>
        <w:t xml:space="preserve"> </w:t>
      </w:r>
      <w:r>
        <w:t xml:space="preserve">— the</w:t>
      </w:r>
      <w:r>
        <w:t xml:space="preserve"> </w:t>
      </w:r>
      <w:r>
        <w:rPr>
          <w:bCs/>
          <w:b/>
        </w:rPr>
        <w:t xml:space="preserve">summary</w:t>
      </w:r>
      <w:r>
        <w:t xml:space="preserve"> </w:t>
      </w:r>
      <w:r>
        <w:t xml:space="preserve">table,</w:t>
      </w:r>
      <w:r>
        <w:t xml:space="preserve"> </w:t>
      </w:r>
      <w:r>
        <w:rPr>
          <w:bCs/>
          <w:b/>
        </w:rPr>
        <w:t xml:space="preserve">one row per line</w:t>
      </w:r>
      <w:r>
        <w:t xml:space="preserve">, carrying the per-scenario maxima (Cartor/Base Max, Zero Max, … STRMPR025 Max), Max of All, Scenario of Max, Percentage of Impact, and enrichment (rating, country/region, industry, OTC/SFT, TD Sub).</w:t>
      </w:r>
    </w:p>
    <w:p>
      <w:pPr>
        <w:pStyle w:val="BodyText"/>
      </w:pPr>
      <w:r>
        <w:rPr>
          <w:bCs/>
          <w:b/>
        </w:rPr>
        <w:t xml:space="preserve">Why two tables:</w:t>
      </w:r>
      <w:r>
        <w:t xml:space="preserve"> </w:t>
      </w:r>
      <w:r>
        <w:t xml:space="preserve">the summary answers</w:t>
      </w:r>
      <w:r>
        <w:t xml:space="preserve"> </w:t>
      </w:r>
      <w:r>
        <w:t xml:space="preserve">“</w:t>
      </w:r>
      <w:r>
        <w:t xml:space="preserve">what’s the worst across everything for this line</w:t>
      </w:r>
      <w:r>
        <w:t xml:space="preserve">”</w:t>
      </w:r>
      <w:r>
        <w:t xml:space="preserve"> </w:t>
      </w:r>
      <w:r>
        <w:t xml:space="preserve">(one number per line — great for KPIs and the scenario-maxima bars), while the detailed table holds the full bucket × scenario grid (needed for the maturity-profile charts and breach detail).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the-asts-table-in-detail"/>
    <w:p>
      <w:pPr>
        <w:pStyle w:val="Heading2"/>
      </w:pPr>
      <w:r>
        <w:t xml:space="preserve">4. The</w:t>
      </w:r>
      <w:r>
        <w:t xml:space="preserve"> </w:t>
      </w:r>
      <w:r>
        <w:rPr>
          <w:rStyle w:val="VerbatimChar"/>
        </w:rPr>
        <w:t xml:space="preserve">asts</w:t>
      </w:r>
      <w:r>
        <w:t xml:space="preserve"> </w:t>
      </w:r>
      <w:r>
        <w:t xml:space="preserve">Table in Detail</w:t>
      </w:r>
    </w:p>
    <w:p>
      <w:pPr>
        <w:pStyle w:val="FirstParagraph"/>
      </w:pPr>
      <w:r>
        <w:t xml:space="preserve">54 columns. Grouped by family so the structure is legible:</w:t>
      </w:r>
    </w:p>
    <w:p>
      <w:pPr>
        <w:pStyle w:val="BodyText"/>
      </w:pPr>
      <w:r>
        <w:rPr>
          <w:bCs/>
          <w:b/>
        </w:rPr>
        <w:t xml:space="preserve">Identity / line attributes</w:t>
      </w:r>
      <w:r>
        <w:t xml:space="preserve"> </w:t>
      </w:r>
      <w:r>
        <w:rPr>
          <w:rStyle w:val="VerbatimChar"/>
        </w:rPr>
        <w:t xml:space="preserve">Scenario_Name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Line_Expiry</w:t>
      </w:r>
      <w:r>
        <w:t xml:space="preserve"> </w:t>
      </w:r>
      <w:r>
        <w:t xml:space="preserve">(int,</w:t>
      </w:r>
      <w:r>
        <w:t xml:space="preserve"> </w:t>
      </w:r>
      <w:r>
        <w:rPr>
          <w:bCs/>
          <w:b/>
        </w:rPr>
        <w:t xml:space="preserve">YYYYMMDD</w:t>
      </w:r>
      <w:r>
        <w:t xml:space="preserve"> </w:t>
      </w:r>
      <w:r>
        <w:t xml:space="preserve">— e.g. </w:t>
      </w:r>
      <w:r>
        <w:rPr>
          <w:rStyle w:val="VerbatimChar"/>
        </w:rPr>
        <w:t xml:space="preserve">20180531</w:t>
      </w:r>
      <w:r>
        <w:t xml:space="preserve"> </w:t>
      </w:r>
      <w:r>
        <w:t xml:space="preserve">= 2018-05-31),</w:t>
      </w:r>
      <w:r>
        <w:t xml:space="preserve"> </w:t>
      </w:r>
      <w:r>
        <w:rPr>
          <w:rStyle w:val="VerbatimChar"/>
        </w:rPr>
        <w:t xml:space="preserve">No_Line_Indicator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Line_Currency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Worst_Rating_Of_Associated_Clients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Current (unstressed) usage — 6 wide buckets</w:t>
      </w:r>
      <w:r>
        <w:t xml:space="preserve"> </w:t>
      </w:r>
      <w:r>
        <w:rPr>
          <w:rStyle w:val="VerbatimChar"/>
        </w:rPr>
        <w:t xml:space="preserve">Standard_Usage_0_3_mo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Standard_Usage_10_50_Yr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Stressed max usage — 6 wide buckets</w:t>
      </w:r>
      <w:r>
        <w:t xml:space="preserve"> </w:t>
      </w:r>
      <w:r>
        <w:rPr>
          <w:rStyle w:val="VerbatimChar"/>
        </w:rPr>
        <w:t xml:space="preserve">Max_Usage_0_3_mo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Max_Usage_10_50_Yr</w:t>
      </w:r>
      <w:r>
        <w:t xml:space="preserve">.</w:t>
      </w:r>
      <w:r>
        <w:t xml:space="preserve"> </w:t>
      </w:r>
      <w:r>
        <w:rPr>
          <w:iCs/>
          <w:i/>
        </w:rPr>
        <w:t xml:space="preserve">This is the per-scenario stressed PFE per bucket.</w:t>
      </w:r>
    </w:p>
    <w:p>
      <w:pPr>
        <w:pStyle w:val="BodyText"/>
      </w:pPr>
      <w:r>
        <w:rPr>
          <w:bCs/>
          <w:b/>
        </w:rPr>
        <w:t xml:space="preserve">Limits — 6 wide buckets, named by tenor ENDPOINT (not range)</w:t>
      </w:r>
      <w:r>
        <w:t xml:space="preserve"> </w:t>
      </w:r>
      <w:r>
        <w:rPr>
          <w:rStyle w:val="VerbatimChar"/>
        </w:rPr>
        <w:t xml:space="preserve">Limit_3_mo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Limit_1_Yr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Limit_2_Yr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Limit_5_Yr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Limit_10_Yr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Limit_50_Yr</w:t>
      </w:r>
      <w:r>
        <w:t xml:space="preserve">.</w:t>
      </w:r>
      <w:r>
        <w:t xml:space="preserve"> </w:t>
      </w:r>
      <w:r>
        <w:t xml:space="preserve">&gt; ⚠️</w:t>
      </w:r>
      <w:r>
        <w:t xml:space="preserve"> </w:t>
      </w:r>
      <w:r>
        <w:rPr>
          <w:bCs/>
          <w:b/>
        </w:rPr>
        <w:t xml:space="preserve">Trap:</w:t>
      </w:r>
      <w:r>
        <w:t xml:space="preserve"> </w:t>
      </w:r>
      <w:r>
        <w:t xml:space="preserve">usage columns are named by</w:t>
      </w:r>
      <w:r>
        <w:t xml:space="preserve"> </w:t>
      </w:r>
      <w:r>
        <w:rPr>
          <w:iCs/>
          <w:i/>
        </w:rPr>
        <w:t xml:space="preserve">range</w:t>
      </w:r>
      <w:r>
        <w:t xml:space="preserve"> </w:t>
      </w:r>
      <w:r>
        <w:t xml:space="preserve">(</w:t>
      </w:r>
      <w:r>
        <w:rPr>
          <w:rStyle w:val="VerbatimChar"/>
        </w:rPr>
        <w:t xml:space="preserve">_0_3_mo</w:t>
      </w:r>
      <w:r>
        <w:t xml:space="preserve">,</w:t>
      </w:r>
      <w:r>
        <w:t xml:space="preserve"> </w:t>
      </w:r>
      <w:r>
        <w:rPr>
          <w:rStyle w:val="VerbatimChar"/>
        </w:rPr>
        <w:t xml:space="preserve">_3_12_mo</w:t>
      </w:r>
      <w:r>
        <w:t xml:space="preserve">, …) but limits by their</w:t>
      </w:r>
      <w:r>
        <w:t xml:space="preserve"> </w:t>
      </w:r>
      <w:r>
        <w:rPr>
          <w:iCs/>
          <w:i/>
        </w:rPr>
        <w:t xml:space="preserve">endpoint</w:t>
      </w:r>
      <w:r>
        <w:t xml:space="preserve">. They map</w:t>
      </w:r>
      <w:r>
        <w:t xml:space="preserve"> </w:t>
      </w:r>
      <w:r>
        <w:rPr>
          <w:bCs/>
          <w:b/>
        </w:rPr>
        <w:t xml:space="preserve">positionally</w:t>
      </w:r>
      <w:r>
        <w:t xml:space="preserve">:</w:t>
      </w:r>
      <w:r>
        <w:t xml:space="preserve"> </w:t>
      </w:r>
      <w:r>
        <w:rPr>
          <w:rStyle w:val="VerbatimChar"/>
        </w:rPr>
        <w:t xml:space="preserve">Limit_3_mo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0–3 Mo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Limit_1_Yr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3–12 Mo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Limit_2_Yr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1–2 Yr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Limit_5_Yr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2–5 Yr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Limit_10_Yr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5–10 Yr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Limit_50_Yr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10–50 Yr</w:t>
      </w:r>
      <w:r>
        <w:t xml:space="preserve">. Get this wrong and the limit line sits against the wrong buckets.</w:t>
      </w:r>
    </w:p>
    <w:p>
      <w:pPr>
        <w:pStyle w:val="BodyText"/>
      </w:pPr>
      <w:r>
        <w:rPr>
          <w:bCs/>
          <w:b/>
        </w:rPr>
        <w:t xml:space="preserve">Breach flags — 6 wide buckets</w:t>
      </w:r>
      <w:r>
        <w:t xml:space="preserve"> </w:t>
      </w:r>
      <w:r>
        <w:t xml:space="preserve">(</w:t>
      </w: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, stored as strings)</w:t>
      </w:r>
      <w:r>
        <w:t xml:space="preserve"> </w:t>
      </w:r>
      <w:r>
        <w:rPr>
          <w:rStyle w:val="VerbatimChar"/>
        </w:rPr>
        <w:t xml:space="preserve">0_3_mo_Excess_Breach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10_50_Yr_Excess_Breach</w:t>
      </w:r>
      <w:r>
        <w:t xml:space="preserve">.</w:t>
      </w:r>
      <w:r>
        <w:t xml:space="preserve"> </w:t>
      </w:r>
      <w:r>
        <w:rPr>
          <w:iCs/>
          <w:i/>
        </w:rPr>
        <w:t xml:space="preserve">Already encode the two-condition breach rule — we don’t re-derive it.</w:t>
      </w:r>
    </w:p>
    <w:p>
      <w:pPr>
        <w:pStyle w:val="BodyText"/>
      </w:pPr>
      <w:r>
        <w:rPr>
          <w:bCs/>
          <w:b/>
        </w:rPr>
        <w:t xml:space="preserve">Excess % — 6 wide buckets</w:t>
      </w:r>
      <w:r>
        <w:t xml:space="preserve"> </w:t>
      </w:r>
      <w:r>
        <w:t xml:space="preserve">(double)</w:t>
      </w:r>
      <w:r>
        <w:t xml:space="preserve"> </w:t>
      </w:r>
      <w:r>
        <w:rPr>
          <w:rStyle w:val="VerbatimChar"/>
        </w:rPr>
        <w:t xml:space="preserve">0_3_mo_Excess_Percentage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10_50_Yr_Excess_Percentage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Line-level summary fields</w:t>
      </w:r>
      <w:r>
        <w:t xml:space="preserve"> </w:t>
      </w:r>
      <w:r>
        <w:rPr>
          <w:rStyle w:val="VerbatimChar"/>
        </w:rPr>
        <w:t xml:space="preserve">Gross_Max_Exposure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Max_Scenario_Exposure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Max_Exp_Time_Bucket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Max_Scenario_Name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Standard_Exposure</w:t>
      </w:r>
      <w:r>
        <w:t xml:space="preserve">,</w:t>
      </w:r>
      <w:r>
        <w:t xml:space="preserve"> </w:t>
      </w:r>
      <w:r>
        <w:rPr>
          <w:rStyle w:val="VerbatimChar"/>
        </w:rPr>
        <w:t xml:space="preserve">Excess_Percentage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Exposure_Percentage</w:t>
      </w:r>
      <w:r>
        <w:t xml:space="preserve"> </w:t>
      </w:r>
      <w:r>
        <w:t xml:space="preserve">(+ per-bucket variants),</w:t>
      </w:r>
      <w:r>
        <w:t xml:space="preserve"> </w:t>
      </w:r>
      <w:r>
        <w:rPr>
          <w:rStyle w:val="VerbatimChar"/>
        </w:rPr>
        <w:t xml:space="preserve">business_date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Lineage leftovers</w:t>
      </w:r>
      <w:r>
        <w:t xml:space="preserve"> </w:t>
      </w:r>
      <w:r>
        <w:rPr>
          <w:rStyle w:val="VerbatimChar"/>
        </w:rPr>
        <w:t xml:space="preserve">Scenario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Timestep</w:t>
      </w:r>
      <w:r>
        <w:t xml:space="preserve"> </w:t>
      </w:r>
      <w:r>
        <w:t xml:space="preserve">— fields carried from an exp_decomp-style merge; a likely source of duplicate-looking rows.</w:t>
      </w:r>
    </w:p>
    <w:p>
      <w:pPr>
        <w:pStyle w:val="BlockText"/>
      </w:pPr>
      <w:r>
        <w:rPr>
          <w:bCs/>
          <w:b/>
        </w:rPr>
        <w:t xml:space="preserve">Important:</w:t>
      </w:r>
      <w:r>
        <w:t xml:space="preserve"> </w:t>
      </w:r>
      <w:r>
        <w:t xml:space="preserve">every dollar/usage/limit column is typed</w:t>
      </w:r>
      <w:r>
        <w:t xml:space="preserve"> </w:t>
      </w:r>
      <w:r>
        <w:rPr>
          <w:rStyle w:val="VerbatimChar"/>
          <w:bCs/>
          <w:b/>
        </w:rPr>
        <w:t xml:space="preserve">string</w:t>
      </w:r>
      <w:r>
        <w:t xml:space="preserve">, not numeric (only the Excess_Percentage columns are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). So anything that plots them must</w:t>
      </w:r>
      <w:r>
        <w:t xml:space="preserve"> </w:t>
      </w:r>
      <w:r>
        <w:rPr>
          <w:bCs/>
          <w:b/>
        </w:rPr>
        <w:t xml:space="preserve">cast</w:t>
      </w:r>
      <w:r>
        <w:t xml:space="preserve"> </w:t>
      </w:r>
      <w:r>
        <w:t xml:space="preserve">(</w:t>
      </w:r>
      <w:r>
        <w:rPr>
          <w:rStyle w:val="VerbatimChar"/>
        </w:rPr>
        <w:t xml:space="preserve">TRY_CAST(REPLACE(col, ',', '') AS DOUBLE)</w:t>
      </w:r>
      <w:r>
        <w:t xml:space="preserve">). This shows up all over the view logic.</w:t>
      </w:r>
    </w:p>
    <w:p>
      <w:r>
        <w:pict>
          <v:rect style="width:0;height:1.5pt" o:hralign="center" o:hrstd="t" o:hr="t"/>
        </w:pict>
      </w:r>
    </w:p>
    <w:bookmarkEnd w:id="39"/>
    <w:bookmarkStart w:id="40" w:name="data-quality-realities"/>
    <w:p>
      <w:pPr>
        <w:pStyle w:val="Heading2"/>
      </w:pPr>
      <w:r>
        <w:t xml:space="preserve">5. Data-Quality Realities</w:t>
      </w:r>
    </w:p>
    <w:p>
      <w:pPr>
        <w:pStyle w:val="FirstParagraph"/>
      </w:pPr>
      <w:r>
        <w:t xml:space="preserve">These are real wrinkles in</w:t>
      </w:r>
      <w:r>
        <w:t xml:space="preserve"> </w:t>
      </w:r>
      <w:r>
        <w:rPr>
          <w:rStyle w:val="VerbatimChar"/>
        </w:rPr>
        <w:t xml:space="preserve">asts</w:t>
      </w:r>
      <w:r>
        <w:t xml:space="preserve"> </w:t>
      </w:r>
      <w:r>
        <w:t xml:space="preserve">we discovered and worked around. They’re flagged for the rebuild team to fix at source.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35 exact-duplicate rows.</w:t>
      </w:r>
      <w:r>
        <w:t xml:space="preserve"> </w:t>
      </w:r>
      <w:r>
        <w:t xml:space="preserve">Removed in every view with</w:t>
      </w:r>
      <w:r>
        <w:t xml:space="preserve"> </w:t>
      </w:r>
      <w:r>
        <w:rPr>
          <w:rStyle w:val="VerbatimChar"/>
        </w:rPr>
        <w:t xml:space="preserve">SELECT DISTINCT *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asts0</w:t>
      </w:r>
      <w:r>
        <w:t xml:space="preserve"> </w:t>
      </w:r>
      <w:r>
        <w:t xml:space="preserve">CTE).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Long_Name</w:t>
      </w:r>
      <w:r>
        <w:rPr>
          <w:bCs/>
          <w:b/>
        </w:rPr>
        <w:t xml:space="preserve"> </w:t>
      </w:r>
      <w:r>
        <w:rPr>
          <w:bCs/>
          <w:b/>
        </w:rPr>
        <w:t xml:space="preserve">has variants per line</w:t>
      </w:r>
      <w:r>
        <w:t xml:space="preserve"> </w:t>
      </w:r>
      <w:r>
        <w:t xml:space="preserve">(stray spaces / truncation). Including it in a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split a line into two → doubled the Limit/Current series (12 rows instead of 6).</w:t>
      </w:r>
      <w:r>
        <w:t xml:space="preserve"> </w:t>
      </w:r>
      <w:r>
        <w:rPr>
          <w:iCs/>
          <w:i/>
        </w:rPr>
        <w:t xml:space="preserve">Fix:</w:t>
      </w:r>
      <w:r>
        <w:t xml:space="preserve"> </w:t>
      </w:r>
      <w:r>
        <w:t xml:space="preserve">group only on the true key</w:t>
      </w:r>
      <w:r>
        <w:t xml:space="preserve"> </w:t>
      </w:r>
      <w:r>
        <w:rPr>
          <w:rStyle w:val="VerbatimChar"/>
        </w:rPr>
        <w:t xml:space="preserve">(Line, business_date)</w:t>
      </w:r>
      <w:r>
        <w:t xml:space="preserve"> </w:t>
      </w:r>
      <w:r>
        <w:t xml:space="preserve">and pull</w:t>
      </w:r>
      <w:r>
        <w:t xml:space="preserve"> </w:t>
      </w:r>
      <w:r>
        <w:rPr>
          <w:rStyle w:val="VerbatimChar"/>
        </w:rPr>
        <w:t xml:space="preserve">Long_Name</w:t>
      </w:r>
      <w:r>
        <w:t xml:space="preserve"> </w:t>
      </w:r>
      <w:r>
        <w:t xml:space="preserve">in via</w:t>
      </w:r>
      <w:r>
        <w:t xml:space="preserve"> </w:t>
      </w:r>
      <w:r>
        <w:rPr>
          <w:rStyle w:val="VerbatimChar"/>
        </w:rPr>
        <w:t xml:space="preserve">MAX()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BASE</w:t>
      </w:r>
      <w:r>
        <w:rPr>
          <w:bCs/>
          <w:b/>
        </w:rPr>
        <w:t xml:space="preserve"> </w:t>
      </w:r>
      <w:r>
        <w:rPr>
          <w:bCs/>
          <w:b/>
        </w:rPr>
        <w:t xml:space="preserve">row can have null Limit/Usage.</w:t>
      </w:r>
      <w:r>
        <w:t xml:space="preserve"> </w:t>
      </w:r>
      <w:r>
        <w:t xml:space="preserve">Our first dedup picked the alphabetically-first scenario row (</w:t>
      </w:r>
      <w:r>
        <w:rPr>
          <w:rStyle w:val="VerbatimChar"/>
        </w:rPr>
        <w:t xml:space="preserve">BASE</w:t>
      </w:r>
      <w:r>
        <w:t xml:space="preserve">), which for some lines has null limits — so Limit came back empty.</w:t>
      </w:r>
      <w:r>
        <w:t xml:space="preserve"> </w:t>
      </w:r>
      <w:r>
        <w:rPr>
          <w:iCs/>
          <w:i/>
        </w:rPr>
        <w:t xml:space="preserve">Fix: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MAX()</w:t>
      </w:r>
      <w:r>
        <w:t xml:space="preserve"> </w:t>
      </w:r>
      <w:r>
        <w:t xml:space="preserve">across the line’s rows (MAX ignores nulls and limits are constant per line, so it grabs the populated value).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Line_Type</w:t>
      </w:r>
      <w:r>
        <w:rPr>
          <w:bCs/>
          <w:b/>
        </w:rPr>
        <w:t xml:space="preserve"> </w:t>
      </w:r>
      <w:r>
        <w:rPr>
          <w:bCs/>
          <w:b/>
        </w:rPr>
        <w:t xml:space="preserve">appeared multi-valued for some lines</w:t>
      </w:r>
      <w:r>
        <w:t xml:space="preserve"> </w:t>
      </w:r>
      <w:r>
        <w:t xml:space="preserve">— investigated; tied to the duplicate/lineage rows, not a true composite key.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All-string dollar columns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Cs/>
          <w:b/>
        </w:rPr>
        <w:t xml:space="preserve">Line_Expiry</w:t>
      </w:r>
      <w:r>
        <w:rPr>
          <w:bCs/>
          <w:b/>
        </w:rPr>
        <w:t xml:space="preserve"> </w:t>
      </w:r>
      <w:r>
        <w:rPr>
          <w:bCs/>
          <w:b/>
        </w:rPr>
        <w:t xml:space="preserve">as a YYYYMMDD int</w:t>
      </w:r>
      <w:r>
        <w:t xml:space="preserve"> </w:t>
      </w:r>
      <w:r>
        <w:t xml:space="preserve">— handled with casts.</w:t>
      </w:r>
    </w:p>
    <w:p>
      <w:pPr>
        <w:pStyle w:val="FirstParagraph"/>
      </w:pPr>
      <w:r>
        <w:rPr>
          <w:bCs/>
          <w:b/>
        </w:rPr>
        <w:t xml:space="preserve">Why we proceeded anyway:</w:t>
      </w:r>
      <w:r>
        <w:t xml:space="preserve"> </w:t>
      </w:r>
      <w:r>
        <w:t xml:space="preserve">these are blueprint-acceptable. The summary rebuild is another team’s process; our job was to prove the end-to-end tearsheet works on current data, with the wrinkles documented.</w:t>
      </w:r>
    </w:p>
    <w:p>
      <w:r>
        <w:pict>
          <v:rect style="width:0;height:1.5pt" o:hralign="center" o:hrstd="t" o:hr="t"/>
        </w:pict>
      </w:r>
    </w:p>
    <w:bookmarkEnd w:id="40"/>
    <w:bookmarkStart w:id="46" w:name="the-semantic-model"/>
    <w:p>
      <w:pPr>
        <w:pStyle w:val="Heading2"/>
      </w:pPr>
      <w:r>
        <w:t xml:space="preserve">6. The Semantic Model</w:t>
      </w:r>
    </w:p>
    <w:bookmarkStart w:id="41" w:name="Xae385036cedc9811e5df7e492c68e262c6a7f15"/>
    <w:p>
      <w:pPr>
        <w:pStyle w:val="Heading3"/>
      </w:pPr>
      <w:r>
        <w:t xml:space="preserve">6.1 Why a semantic model at all (business driver)</w:t>
      </w:r>
    </w:p>
    <w:p>
      <w:pPr>
        <w:pStyle w:val="FirstParagraph"/>
      </w:pPr>
      <w:r>
        <w:t xml:space="preserve">The model (</w:t>
      </w:r>
      <w:r>
        <w:rPr>
          <w:bCs/>
          <w:b/>
        </w:rPr>
        <w:t xml:space="preserve">Mosaic</w:t>
      </w:r>
      <w:r>
        <w:t xml:space="preserve">, inside Strategy One —</w:t>
      </w:r>
      <w:r>
        <w:t xml:space="preserve"> </w:t>
      </w:r>
      <w:r>
        <w:t xml:space="preserve">“</w:t>
      </w:r>
      <w:r>
        <w:t xml:space="preserve">Stress PFE Data Model</w:t>
      </w:r>
      <w:r>
        <w:t xml:space="preserve">”</w:t>
      </w:r>
      <w:r>
        <w:t xml:space="preserve">) is where raw Databricks columns become</w:t>
      </w:r>
      <w:r>
        <w:t xml:space="preserve"> </w:t>
      </w:r>
      <w:r>
        <w:rPr>
          <w:bCs/>
          <w:b/>
        </w:rPr>
        <w:t xml:space="preserve">governed business objects</w:t>
      </w:r>
      <w:r>
        <w:t xml:space="preserve">:</w:t>
      </w:r>
      <w:r>
        <w:t xml:space="preserve"> </w:t>
      </w:r>
      <w:r>
        <w:rPr>
          <w:iCs/>
          <w:i/>
        </w:rPr>
        <w:t xml:space="preserve">Borrower</w:t>
      </w:r>
      <w:r>
        <w:t xml:space="preserve">,</w:t>
      </w:r>
      <w:r>
        <w:t xml:space="preserve"> </w:t>
      </w:r>
      <w:r>
        <w:rPr>
          <w:iCs/>
          <w:i/>
        </w:rPr>
        <w:t xml:space="preserve">Line</w:t>
      </w:r>
      <w:r>
        <w:t xml:space="preserve">,</w:t>
      </w:r>
      <w:r>
        <w:t xml:space="preserve"> </w:t>
      </w:r>
      <w:r>
        <w:rPr>
          <w:iCs/>
          <w:i/>
        </w:rPr>
        <w:t xml:space="preserve">Worst Rating</w:t>
      </w:r>
      <w:r>
        <w:t xml:space="preserve">,</w:t>
      </w:r>
      <w:r>
        <w:t xml:space="preserve"> </w:t>
      </w:r>
      <w:r>
        <w:rPr>
          <w:iCs/>
          <w:i/>
        </w:rPr>
        <w:t xml:space="preserve">Time Bucket</w:t>
      </w:r>
      <w:r>
        <w:t xml:space="preserve">,</w:t>
      </w:r>
      <w:r>
        <w:t xml:space="preserve"> </w:t>
      </w:r>
      <w:r>
        <w:rPr>
          <w:iCs/>
          <w:i/>
        </w:rPr>
        <w:t xml:space="preserve">Scenario</w:t>
      </w:r>
      <w:r>
        <w:t xml:space="preserve">,</w:t>
      </w:r>
      <w:r>
        <w:t xml:space="preserve"> </w:t>
      </w:r>
      <w:r>
        <w:rPr>
          <w:iCs/>
          <w:i/>
        </w:rPr>
        <w:t xml:space="preserve">Limit</w:t>
      </w:r>
      <w:r>
        <w:t xml:space="preserve">,</w:t>
      </w:r>
      <w:r>
        <w:t xml:space="preserve"> </w:t>
      </w:r>
      <w:r>
        <w:rPr>
          <w:iCs/>
          <w:i/>
        </w:rPr>
        <w:t xml:space="preserve">Excess %</w:t>
      </w:r>
      <w:r>
        <w:t xml:space="preserve">. Defining them once, centrally, means every chart and every analyst uses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definition — the opposite of everyone rolling their own spreadsheet formula.</w:t>
      </w:r>
      <w:r>
        <w:t xml:space="preserve"> </w:t>
      </w:r>
      <w:r>
        <w:rPr>
          <w:bCs/>
          <w:b/>
        </w:rPr>
        <w:t xml:space="preserve">Governance thesis: any calc outside this model is ungoverned.</w:t>
      </w:r>
    </w:p>
    <w:bookmarkEnd w:id="41"/>
    <w:bookmarkStart w:id="42" w:name="whats-in-it"/>
    <w:p>
      <w:pPr>
        <w:pStyle w:val="Heading3"/>
      </w:pPr>
      <w:r>
        <w:t xml:space="preserve">6.2 What’s in it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~29 attributes, ~52 metrics.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Line</w:t>
      </w:r>
      <w:r>
        <w:t xml:space="preserve"> </w:t>
      </w:r>
      <w:r>
        <w:t xml:space="preserve">is the central hub — everything joins to it.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Hierarchies</w:t>
      </w:r>
      <w:r>
        <w:t xml:space="preserve"> </w:t>
      </w:r>
      <w:r>
        <w:t xml:space="preserve">(so analysts can drill):</w:t>
      </w:r>
      <w:r>
        <w:t xml:space="preserve"> </w:t>
      </w:r>
      <w:r>
        <w:rPr>
          <w:rStyle w:val="VerbatimChar"/>
        </w:rPr>
        <w:t xml:space="preserve">Region → CIF Country Name → Country Of Risk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Industry → SIC Industry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Breach indicators kept as attributes</w:t>
      </w:r>
      <w:r>
        <w:t xml:space="preserve"> </w:t>
      </w:r>
      <w:r>
        <w:t xml:space="preserve">(text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) rather than metrics — because their job is</w:t>
      </w:r>
      <w:r>
        <w:t xml:space="preserve"> </w:t>
      </w:r>
      <w:r>
        <w:rPr>
          <w:bCs/>
          <w:b/>
        </w:rPr>
        <w:t xml:space="preserve">filtering</w:t>
      </w:r>
      <w:r>
        <w:t xml:space="preserve"> </w:t>
      </w:r>
      <w:r>
        <w:t xml:space="preserve">(</w:t>
      </w:r>
      <w:r>
        <w:t xml:space="preserve">“</w:t>
      </w:r>
      <w:r>
        <w:t xml:space="preserve">show me only breaching lines</w:t>
      </w:r>
      <w:r>
        <w:t xml:space="preserve">”</w:t>
      </w:r>
      <w:r>
        <w:t xml:space="preserve">), not arithmetic.</w:t>
      </w:r>
    </w:p>
    <w:bookmarkEnd w:id="42"/>
    <w:bookmarkStart w:id="43" w:name="Xc61952ada4d234255cacf44835a85798752e8cb"/>
    <w:p>
      <w:pPr>
        <w:pStyle w:val="Heading3"/>
      </w:pPr>
      <w:r>
        <w:t xml:space="preserve">6.3 Aggregation rules — tied to business meaning</w:t>
      </w:r>
    </w:p>
    <w:p>
      <w:pPr>
        <w:pStyle w:val="FirstParagraph"/>
      </w:pPr>
      <w:r>
        <w:t xml:space="preserve">A subtle but important point: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Dollar amounts → Sum</w:t>
      </w:r>
      <w:r>
        <w:t xml:space="preserve"> </w:t>
      </w:r>
      <w:r>
        <w:t xml:space="preserve">when rolling up across lines (a portfolio total is the sum of line exposures). Within a single line the bucket max is already baked in, so the</w:t>
      </w:r>
      <w:r>
        <w:t xml:space="preserve"> </w:t>
      </w:r>
      <w:r>
        <w:t xml:space="preserve">“</w:t>
      </w:r>
      <w:r>
        <w:t xml:space="preserve">Maximum</w:t>
      </w:r>
      <w:r>
        <w:t xml:space="preserve">”</w:t>
      </w:r>
      <w:r>
        <w:t xml:space="preserve"> </w:t>
      </w:r>
      <w:r>
        <w:t xml:space="preserve">in a metric name refers to that pre-computed within-line max.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Ratios / percentages → Max, never Sum.</w:t>
      </w:r>
      <w:r>
        <w:t xml:space="preserve"> </w:t>
      </w:r>
      <w:r>
        <w:rPr>
          <w:iCs/>
          <w:i/>
        </w:rPr>
        <w:t xml:space="preserve">Why:</w:t>
      </w:r>
      <w:r>
        <w:t xml:space="preserve"> </w:t>
      </w:r>
      <w:r>
        <w:t xml:space="preserve">summing percentages is meaningless.</w:t>
      </w:r>
      <w:r>
        <w:t xml:space="preserve"> </w:t>
      </w:r>
      <w:r>
        <w:rPr>
          <w:iCs/>
          <w:i/>
        </w:rPr>
        <w:t xml:space="preserve">Example:</w:t>
      </w:r>
      <w:r>
        <w:t xml:space="preserve"> </w:t>
      </w:r>
      <w:r>
        <w:t xml:space="preserve">two lines at 80% and 90% utilization don’t make 170% — you want the max (90%) or an average, not a sum. Excess % and Exposure % are set to</w:t>
      </w:r>
      <w:r>
        <w:t xml:space="preserve"> </w:t>
      </w:r>
      <w:r>
        <w:rPr>
          <w:bCs/>
          <w:b/>
        </w:rPr>
        <w:t xml:space="preserve">MAX</w:t>
      </w:r>
      <w:r>
        <w:t xml:space="preserve">.</w:t>
      </w:r>
    </w:p>
    <w:bookmarkEnd w:id="43"/>
    <w:bookmarkStart w:id="44" w:name="renaming-for-the-business"/>
    <w:p>
      <w:pPr>
        <w:pStyle w:val="Heading3"/>
      </w:pPr>
      <w:r>
        <w:t xml:space="preserve">6.4 Renaming for the business</w:t>
      </w:r>
    </w:p>
    <w:p>
      <w:pPr>
        <w:pStyle w:val="FirstParagraph"/>
      </w:pPr>
      <w:r>
        <w:t xml:space="preserve">Raw engine columns (</w:t>
      </w:r>
      <w:r>
        <w:rPr>
          <w:rStyle w:val="VerbatimChar"/>
        </w:rPr>
        <w:t xml:space="preserve">Cartor Maximum</w:t>
      </w:r>
      <w:r>
        <w:t xml:space="preserve">,</w:t>
      </w:r>
      <w:r>
        <w:t xml:space="preserve"> </w:t>
      </w:r>
      <w:r>
        <w:rPr>
          <w:rStyle w:val="VerbatimChar"/>
        </w:rPr>
        <w:t xml:space="preserve">STR MPR 025 Maximum</w:t>
      </w:r>
      <w:r>
        <w:t xml:space="preserve">) were relabeled to friendlier names on the visuals (Base, 0.25, STR75, Prod, …) so a credit analyst reads scenarios, not engine codes. (The full</w:t>
      </w:r>
      <w:r>
        <w:t xml:space="preserve"> </w:t>
      </w:r>
      <w:r>
        <w:rPr>
          <w:iCs/>
          <w:i/>
        </w:rPr>
        <w:t xml:space="preserve">descriptive</w:t>
      </w:r>
      <w:r>
        <w:t xml:space="preserve"> </w:t>
      </w:r>
      <w:r>
        <w:t xml:space="preserve">names —</w:t>
      </w:r>
      <w:r>
        <w:t xml:space="preserve"> </w:t>
      </w:r>
      <w:r>
        <w:t xml:space="preserve">“</w:t>
      </w:r>
      <w:r>
        <w:t xml:space="preserve">Volatility &amp; Correlation-1</w:t>
      </w:r>
      <w:r>
        <w:t xml:space="preserve">”</w:t>
      </w:r>
      <w:r>
        <w:t xml:space="preserve"> </w:t>
      </w:r>
      <w:r>
        <w:t xml:space="preserve">etc. — are handled via a mapping table; see §8.3.)</w:t>
      </w:r>
    </w:p>
    <w:bookmarkEnd w:id="44"/>
    <w:bookmarkStart w:id="45" w:name="time-bucket-sorting-a-worked-gotcha"/>
    <w:p>
      <w:pPr>
        <w:pStyle w:val="Heading3"/>
      </w:pPr>
      <w:r>
        <w:t xml:space="preserve">6.5 Time Bucket sorting (a worked gotcha)</w:t>
      </w:r>
    </w:p>
    <w:p>
      <w:pPr>
        <w:pStyle w:val="FirstParagraph"/>
      </w:pPr>
      <w:r>
        <w:t xml:space="preserve">Time Bucket initially sorted</w:t>
      </w:r>
      <w:r>
        <w:t xml:space="preserve"> </w:t>
      </w:r>
      <w:r>
        <w:rPr>
          <w:bCs/>
          <w:b/>
        </w:rPr>
        <w:t xml:space="preserve">alphabetically</w:t>
      </w:r>
      <w:r>
        <w:t xml:space="preserve"> </w:t>
      </w:r>
      <w:r>
        <w:t xml:space="preserve">(</w:t>
      </w:r>
      <w:r>
        <w:rPr>
          <w:rStyle w:val="VerbatimChar"/>
        </w:rPr>
        <w:t xml:space="preserve">0-3 Mo, 1-2 Yr, 10-50 Yr, 2-5 Yr, …</w:t>
      </w:r>
      <w:r>
        <w:t xml:space="preserve">) — nonsensical for a maturity axis.</w:t>
      </w:r>
      <w:r>
        <w:t xml:space="preserve"> </w:t>
      </w:r>
      <w:r>
        <w:rPr>
          <w:iCs/>
          <w:i/>
        </w:rPr>
        <w:t xml:space="preserve">Fix:</w:t>
      </w:r>
      <w:r>
        <w:t xml:space="preserve"> </w:t>
      </w:r>
      <w:r>
        <w:t xml:space="preserve">the view emits a numeric</w:t>
      </w:r>
      <w:r>
        <w:t xml:space="preserve"> </w:t>
      </w:r>
      <w:r>
        <w:rPr>
          <w:rStyle w:val="VerbatimChar"/>
          <w:bCs/>
          <w:b/>
        </w:rPr>
        <w:t xml:space="preserve">bucket_order</w:t>
      </w:r>
      <w:r>
        <w:t xml:space="preserve"> </w:t>
      </w:r>
      <w:r>
        <w:t xml:space="preserve">(1–6); we added it as a</w:t>
      </w:r>
      <w:r>
        <w:t xml:space="preserve"> </w:t>
      </w:r>
      <w:r>
        <w:rPr>
          <w:bCs/>
          <w:b/>
        </w:rPr>
        <w:t xml:space="preserve">form of the Time Bucket attribute</w:t>
      </w:r>
      <w:r>
        <w:t xml:space="preserve"> </w:t>
      </w:r>
      <w:r>
        <w:t xml:space="preserve">and set the attribute’s</w:t>
      </w:r>
      <w:r>
        <w:t xml:space="preserve"> </w:t>
      </w:r>
      <w:r>
        <w:rPr>
          <w:bCs/>
          <w:b/>
        </w:rPr>
        <w:t xml:space="preserve">sort criterion to Bucket Order ascending</w:t>
      </w:r>
      <w:r>
        <w:t xml:space="preserve">. Key lesson: the sort must live on the</w:t>
      </w:r>
      <w:r>
        <w:t xml:space="preserve"> </w:t>
      </w:r>
      <w:r>
        <w:rPr>
          <w:iCs/>
          <w:i/>
        </w:rPr>
        <w:t xml:space="preserve">attribute on the axis</w:t>
      </w:r>
      <w:r>
        <w:t xml:space="preserve"> </w:t>
      </w:r>
      <w:r>
        <w:t xml:space="preserve">(Time Bucket), sorted</w:t>
      </w:r>
      <w:r>
        <w:t xml:space="preserve"> </w:t>
      </w:r>
      <w:r>
        <w:rPr>
          <w:iCs/>
          <w:i/>
        </w:rPr>
        <w:t xml:space="preserve">by</w:t>
      </w:r>
      <w:r>
        <w:t xml:space="preserve"> </w:t>
      </w:r>
      <w:r>
        <w:t xml:space="preserve">bucket_order — sorting a separate Bucket Order attribute does nothing to the axis.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4" w:name="the-dashboard-tearsheet"/>
    <w:p>
      <w:pPr>
        <w:pStyle w:val="Heading2"/>
      </w:pPr>
      <w:r>
        <w:t xml:space="preserve">7. The Dashboard / Tearsheet</w:t>
      </w:r>
    </w:p>
    <w:p>
      <w:pPr>
        <w:pStyle w:val="FirstParagraph"/>
      </w:pPr>
      <w:r>
        <w:t xml:space="preserve">Dashboard: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Stress PFE | Chapter 1 | Page 1.</w:t>
      </w:r>
      <w:r>
        <w:rPr>
          <w:bCs/>
          <w:b/>
        </w:rPr>
        <w:t xml:space="preserve">”</w:t>
      </w:r>
      <w:r>
        <w:t xml:space="preserve"> </w:t>
      </w:r>
      <w:r>
        <w:t xml:space="preserve">Each visual below is paired with the</w:t>
      </w:r>
      <w:r>
        <w:t xml:space="preserve"> </w:t>
      </w:r>
      <w:r>
        <w:rPr>
          <w:bCs/>
          <w:b/>
        </w:rPr>
        <w:t xml:space="preserve">business question it answers</w:t>
      </w:r>
      <w:r>
        <w:t xml:space="preserve">.</w:t>
      </w:r>
    </w:p>
    <w:bookmarkStart w:id="47" w:name="header-card-who-and-what-am-i-looking-at"/>
    <w:p>
      <w:pPr>
        <w:pStyle w:val="Heading3"/>
      </w:pPr>
      <w:r>
        <w:t xml:space="preserve">7.1 Header card 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Who and what am I looking at?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Borrower Name, Line, Rating, Exposure Type, Line Currency. Built as a card and</w:t>
      </w:r>
      <w:r>
        <w:t xml:space="preserve"> </w:t>
      </w:r>
      <w:r>
        <w:rPr>
          <w:bCs/>
          <w:b/>
        </w:rPr>
        <w:t xml:space="preserve">transposed (Swap Rows/Columns)</w:t>
      </w:r>
      <w:r>
        <w:t xml:space="preserve"> </w:t>
      </w:r>
      <w:r>
        <w:t xml:space="preserve">into a vertical, tearsheet-style block.</w:t>
      </w:r>
      <w:r>
        <w:t xml:space="preserve"> </w:t>
      </w:r>
      <w:r>
        <w:t xml:space="preserve">&gt; Note: the dashboard is</w:t>
      </w:r>
      <w:r>
        <w:t xml:space="preserve"> </w:t>
      </w:r>
      <w:r>
        <w:rPr>
          <w:bCs/>
          <w:b/>
        </w:rPr>
        <w:t xml:space="preserve">per-line</w:t>
      </w:r>
      <w:r>
        <w:t xml:space="preserve">, not per-borrower. AGNC (AMCQ) has three lines —</w:t>
      </w:r>
      <w:r>
        <w:t xml:space="preserve"> </w:t>
      </w:r>
      <w:r>
        <w:rPr>
          <w:rStyle w:val="VerbatimChar"/>
        </w:rPr>
        <w:t xml:space="preserve">CP_(TDBK)_(AMCQ_C2C)</w:t>
      </w:r>
      <w:r>
        <w:t xml:space="preserve">,</w:t>
      </w:r>
      <w:r>
        <w:t xml:space="preserve"> </w:t>
      </w:r>
      <w:r>
        <w:rPr>
          <w:rStyle w:val="VerbatimChar"/>
        </w:rPr>
        <w:t xml:space="preserve">CP_(TDSU)_(AMCQ_C2C)</w:t>
      </w:r>
      <w:r>
        <w:t xml:space="preserve">,</w:t>
      </w:r>
      <w:r>
        <w:t xml:space="preserve"> </w:t>
      </w:r>
      <w:r>
        <w:rPr>
          <w:rStyle w:val="VerbatimChar"/>
        </w:rPr>
        <w:t xml:space="preserve">CP_(TDSU)_(AMCQ_DBL)</w:t>
      </w:r>
      <w:r>
        <w:t xml:space="preserve"> </w:t>
      </w:r>
      <w:r>
        <w:t xml:space="preserve">— so cascading</w:t>
      </w:r>
      <w:r>
        <w:t xml:space="preserve"> </w:t>
      </w:r>
      <w:r>
        <w:rPr>
          <w:bCs/>
          <w:b/>
        </w:rPr>
        <w:t xml:space="preserve">Borrower ↔ Line</w:t>
      </w:r>
      <w:r>
        <w:t xml:space="preserve"> </w:t>
      </w:r>
      <w:r>
        <w:t xml:space="preserve">filters let the analyst pick the borrower then the specific line.</w:t>
      </w:r>
    </w:p>
    <w:bookmarkEnd w:id="47"/>
    <w:bookmarkStart w:id="48" w:name="Xdd50fc5b6788982e220ad167458cf1d10d90617"/>
    <w:p>
      <w:pPr>
        <w:pStyle w:val="Heading3"/>
      </w:pPr>
      <w:r>
        <w:t xml:space="preserve">7.2 Scenario-maxima bar chart (Visualization 1) 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Which stress scenario is worst for this line?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Eight scenario-max metrics as eight bars (metric names on the horizontal axis). The tallest bar = the binding scenario.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Honest limitation:</w:t>
      </w:r>
      <w:r>
        <w:t xml:space="preserve"> </w:t>
      </w:r>
      <w:r>
        <w:t xml:space="preserve">because each bar is a</w:t>
      </w:r>
      <w:r>
        <w:t xml:space="preserve"> </w:t>
      </w:r>
      <w:r>
        <w:rPr>
          <w:iCs/>
          <w:i/>
        </w:rPr>
        <w:t xml:space="preserve">separate metric</w:t>
      </w:r>
      <w:r>
        <w:t xml:space="preserve"> </w:t>
      </w:r>
      <w:r>
        <w:t xml:space="preserve">(not one metric split by a Scenario attribute), Strategy can’t auto-sort the bars by value or auto-highlight the max — bar order follows the metric order, coloring is fixed. Fine for a single-line tearsheet; true dynamic sort/highlight would need the long (attribute) shape.</w:t>
      </w:r>
    </w:p>
    <w:bookmarkEnd w:id="48"/>
    <w:bookmarkStart w:id="49" w:name="kpi-tile-the-headline-numbers."/>
    <w:p>
      <w:pPr>
        <w:pStyle w:val="Heading3"/>
      </w:pPr>
      <w:r>
        <w:t xml:space="preserve">7.3 KPI tile 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headline numbers.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Max of All, Scenario of Max, Percentage of Impact.</w:t>
      </w:r>
      <w:r>
        <w:t xml:space="preserve"> </w:t>
      </w:r>
      <w:r>
        <w:t xml:space="preserve">&gt; Note:</w:t>
      </w:r>
      <w:r>
        <w:t xml:space="preserve"> </w:t>
      </w:r>
      <w:r>
        <w:rPr>
          <w:iCs/>
          <w:i/>
        </w:rPr>
        <w:t xml:space="preserve">Max of All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Max Scenario Exposure</w:t>
      </w:r>
      <w:r>
        <w:t xml:space="preserve"> </w:t>
      </w:r>
      <w:r>
        <w:t xml:space="preserve">are the</w:t>
      </w:r>
      <w:r>
        <w:t xml:space="preserve"> </w:t>
      </w:r>
      <w:r>
        <w:rPr>
          <w:bCs/>
          <w:b/>
        </w:rPr>
        <w:t xml:space="preserve">same number by definition</w:t>
      </w:r>
      <w:r>
        <w:t xml:space="preserve"> </w:t>
      </w:r>
      <w:r>
        <w:t xml:space="preserve">(the peak across scenarios) — showing both is redundant; swap one for</w:t>
      </w:r>
      <w:r>
        <w:t xml:space="preserve"> </w:t>
      </w:r>
      <w:r>
        <w:rPr>
          <w:iCs/>
          <w:i/>
        </w:rPr>
        <w:t xml:space="preserve">Scenario of Max</w:t>
      </w:r>
      <w:r>
        <w:t xml:space="preserve"> </w:t>
      </w:r>
      <w:r>
        <w:t xml:space="preserve">(the binding scenario’s name) so the tile tells a story.</w:t>
      </w:r>
      <w:r>
        <w:t xml:space="preserve"> </w:t>
      </w:r>
      <w:r>
        <w:rPr>
          <w:bCs/>
          <w:b/>
        </w:rPr>
        <w:t xml:space="preserve">Percentage of Impact</w:t>
      </w:r>
      <w:r>
        <w:t xml:space="preserve"> </w:t>
      </w:r>
      <w:r>
        <w:t xml:space="preserve">example:</w:t>
      </w:r>
      <w:r>
        <w:t xml:space="preserve"> </w:t>
      </w:r>
      <w:r>
        <w:rPr>
          <w:bCs/>
          <w:b/>
        </w:rPr>
        <w:t xml:space="preserve">1,489%</w:t>
      </w:r>
      <w:r>
        <w:t xml:space="preserve"> </w:t>
      </w:r>
      <w:r>
        <w:t xml:space="preserve">means the stressed peak is ~</w:t>
      </w:r>
      <w:r>
        <w:rPr>
          <w:bCs/>
          <w:b/>
        </w:rPr>
        <w:t xml:space="preserve">15× the base</w:t>
      </w:r>
      <w:r>
        <w:t xml:space="preserve"> </w:t>
      </w:r>
      <w:r>
        <w:t xml:space="preserve">— i.e. a tiny ~$1.1M base blowing out to ~$16.4M under stress. Format it as</w:t>
      </w:r>
      <w:r>
        <w:t xml:space="preserve"> </w:t>
      </w:r>
      <w:r>
        <w:rPr>
          <w:rStyle w:val="VerbatimChar"/>
        </w:rPr>
        <w:t xml:space="preserve">1,489%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14.9×</w:t>
      </w:r>
      <w:r>
        <w:t xml:space="preserve">), not a raw</w:t>
      </w:r>
      <w:r>
        <w:t xml:space="preserve"> </w:t>
      </w:r>
      <w:r>
        <w:rPr>
          <w:rStyle w:val="VerbatimChar"/>
        </w:rPr>
        <w:t xml:space="preserve">1489.46…</w:t>
      </w:r>
      <w:r>
        <w:t xml:space="preserve">.</w:t>
      </w:r>
    </w:p>
    <w:bookmarkEnd w:id="49"/>
    <w:bookmarkStart w:id="50" w:name="Xdb45cd2f0a3d2aaef32f20f6871519aa054d43f"/>
    <w:p>
      <w:pPr>
        <w:pStyle w:val="Heading3"/>
      </w:pPr>
      <w:r>
        <w:t xml:space="preserve">7.4 Multi-Factor Stress Results (Visualization 3) — the hero 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How does exposure behave across the maturity curve, per scenario, vs the limit?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A clustered bar chart:</w:t>
      </w:r>
      <w:r>
        <w:t xml:space="preserve"> </w:t>
      </w:r>
      <w:r>
        <w:rPr>
          <w:bCs/>
          <w:b/>
        </w:rPr>
        <w:t xml:space="preserve">x = Time Bucket</w:t>
      </w:r>
      <w:r>
        <w:t xml:space="preserve">,</w:t>
      </w:r>
      <w:r>
        <w:t xml:space="preserve"> </w:t>
      </w:r>
      <w:r>
        <w:rPr>
          <w:bCs/>
          <w:b/>
        </w:rPr>
        <w:t xml:space="preserve">y = Value</w:t>
      </w:r>
      <w:r>
        <w:t xml:space="preserve">,</w:t>
      </w:r>
      <w:r>
        <w:t xml:space="preserve"> </w:t>
      </w:r>
      <w:r>
        <w:rPr>
          <w:bCs/>
          <w:b/>
        </w:rPr>
        <w:t xml:space="preserve">color = Series</w:t>
      </w:r>
      <w:r>
        <w:t xml:space="preserve"> </w:t>
      </w:r>
      <w:r>
        <w:t xml:space="preserve">(Limit, Current Exposure, and each scenario). This is the tearsheet’s centrepiece. Building it required the</w:t>
      </w:r>
      <w:r>
        <w:t xml:space="preserve"> </w:t>
      </w:r>
      <w:r>
        <w:rPr>
          <w:bCs/>
          <w:b/>
        </w:rPr>
        <w:t xml:space="preserve">wide → long unpivot</w:t>
      </w:r>
      <w:r>
        <w:t xml:space="preserve"> </w:t>
      </w:r>
      <w:r>
        <w:t xml:space="preserve">(§8.1) so that Time Bucket and Series exist as</w:t>
      </w:r>
      <w:r>
        <w:t xml:space="preserve"> </w:t>
      </w:r>
      <w:r>
        <w:rPr>
          <w:iCs/>
          <w:i/>
        </w:rPr>
        <w:t xml:space="preserve">attributes</w:t>
      </w:r>
      <w:r>
        <w:t xml:space="preserve">.</w:t>
      </w:r>
    </w:p>
    <w:bookmarkEnd w:id="50"/>
    <w:bookmarkStart w:id="51" w:name="Xd9f30feee38614d18b655455a2ded02f5c6525d"/>
    <w:p>
      <w:pPr>
        <w:pStyle w:val="Heading3"/>
      </w:pPr>
      <w:r>
        <w:t xml:space="preserve">7.5 Exposure Change, Stressed vs Current (line chart) 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Where does stress add the most exposure?</w:t>
      </w:r>
      <w:r>
        <w:rPr>
          <w:iCs/>
          <w:i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x = Time Bucket</w:t>
      </w:r>
      <w:r>
        <w:t xml:space="preserve">,</w:t>
      </w:r>
      <w:r>
        <w:t xml:space="preserve"> </w:t>
      </w:r>
      <w:r>
        <w:rPr>
          <w:bCs/>
          <w:b/>
        </w:rPr>
        <w:t xml:space="preserve">one line per scenario</w:t>
      </w:r>
      <w:r>
        <w:t xml:space="preserve">,</w:t>
      </w:r>
      <w:r>
        <w:t xml:space="preserve"> </w:t>
      </w:r>
      <w:r>
        <w:rPr>
          <w:bCs/>
          <w:b/>
        </w:rPr>
        <w:t xml:space="preserve">y =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change_vs_current</w:t>
      </w:r>
      <w:r>
        <w:t xml:space="preserve"> </w:t>
      </w:r>
      <w:r>
        <w:t xml:space="preserve">( = stressed − current). Filtered to scenario series only (Current Exposure’s delta is 0; Limit’s isn’t meaningful). Rising lines show where along the maturity curve stress bites hardest.</w:t>
      </w:r>
    </w:p>
    <w:bookmarkEnd w:id="51"/>
    <w:bookmarkStart w:id="52" w:name="Xa65207bf644813c1f3dd8e758919e0e6d98911e"/>
    <w:p>
      <w:pPr>
        <w:pStyle w:val="Heading3"/>
      </w:pPr>
      <w:r>
        <w:t xml:space="preserve">7.6 Breach summary grid 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What’s the single worst breach, and what drives it?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Bucket of Largest Breach</w:t>
      </w:r>
      <w:r>
        <w:t xml:space="preserve">”</w:t>
      </w:r>
      <w:r>
        <w:t xml:space="preserve"> </w:t>
      </w:r>
      <w:r>
        <w:t xml:space="preserve">table: Bucket of Largest Breach (+ line expiry date), Limit, Current Exposure, Stressed Exposure, Scenario of Largest Breach. Built from a dedicated view (§8.2) that finds, per line, the breaching (scenario, bucket) with the biggest excess. Beneath it sits the</w:t>
      </w:r>
      <w:r>
        <w:t xml:space="preserve"> </w:t>
      </w:r>
      <w:r>
        <w:rPr>
          <w:bCs/>
          <w:b/>
        </w:rPr>
        <w:t xml:space="preserve">commentary block</w:t>
      </w:r>
      <w:r>
        <w:t xml:space="preserve"> </w:t>
      </w:r>
      <w:r>
        <w:t xml:space="preserve">(Primary/Secondary Risk Drivers, Products Driving Exposure, Notes) — manual, see §8.4.</w:t>
      </w:r>
    </w:p>
    <w:bookmarkEnd w:id="52"/>
    <w:bookmarkStart w:id="53" w:name="the-legend-as-a-shared-box-annotation-3"/>
    <w:p>
      <w:pPr>
        <w:pStyle w:val="Heading3"/>
      </w:pPr>
      <w:r>
        <w:t xml:space="preserve">7.7 The legend as a shared box (annotation #3)</w:t>
      </w:r>
    </w:p>
    <w:p>
      <w:pPr>
        <w:pStyle w:val="FirstParagraph"/>
      </w:pPr>
      <w:r>
        <w:t xml:space="preserve">The auto-generated chart legend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scenario color key. To present it as a separate box like the sample: first</w:t>
      </w:r>
      <w:r>
        <w:t xml:space="preserve"> </w:t>
      </w:r>
      <w:r>
        <w:rPr>
          <w:bCs/>
          <w:b/>
        </w:rPr>
        <w:t xml:space="preserve">lock Series colors page-wide</w:t>
      </w:r>
      <w:r>
        <w:t xml:space="preserve"> </w:t>
      </w:r>
      <w:r>
        <w:t xml:space="preserve">(so one legend validly describes every chart), then either keep one chart’s legend positioned to the side (simplest) or build a tiny dummy bar-chart</w:t>
      </w:r>
      <w:r>
        <w:t xml:space="preserve"> </w:t>
      </w:r>
      <w:r>
        <w:t xml:space="preserve">“</w:t>
      </w:r>
      <w:r>
        <w:t xml:space="preserve">legend</w:t>
      </w:r>
      <w:r>
        <w:t xml:space="preserve">”</w:t>
      </w:r>
      <w:r>
        <w:t xml:space="preserve"> </w:t>
      </w:r>
      <w:r>
        <w:t xml:space="preserve">viz. Cosmetic, but the color-locking is worth doing anyway so scenarios are one color across the whole page.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the-views"/>
    <w:p>
      <w:pPr>
        <w:pStyle w:val="Heading2"/>
      </w:pPr>
      <w:r>
        <w:t xml:space="preserve">8. The Views</w:t>
      </w:r>
    </w:p>
    <w:p>
      <w:pPr>
        <w:pStyle w:val="FirstParagraph"/>
      </w:pPr>
      <w:r>
        <w:t xml:space="preserve">The hard work lived in SQL views over</w:t>
      </w:r>
      <w:r>
        <w:t xml:space="preserve"> </w:t>
      </w:r>
      <w:r>
        <w:rPr>
          <w:rStyle w:val="VerbatimChar"/>
        </w:rPr>
        <w:t xml:space="preserve">asts</w:t>
      </w:r>
      <w:r>
        <w:t xml:space="preserve">. The recurring principle:</w:t>
      </w:r>
      <w:r>
        <w:t xml:space="preserve"> </w:t>
      </w:r>
      <w:r>
        <w:rPr>
          <w:bCs/>
          <w:b/>
        </w:rPr>
        <w:t xml:space="preserve">do the data shaping in governed views so the dashboard stays simple and single-table</w:t>
      </w:r>
      <w:r>
        <w:t xml:space="preserve"> </w:t>
      </w:r>
      <w:r>
        <w:t xml:space="preserve">(which also avoids Cartesian/fan-out joins).</w:t>
      </w:r>
    </w:p>
    <w:bookmarkStart w:id="55" w:name="Xc234989fad9cae88aeaa2ad92021a804679e8d7"/>
    <w:p>
      <w:pPr>
        <w:pStyle w:val="Heading3"/>
      </w:pPr>
      <w:r>
        <w:t xml:space="preserve">8.1</w:t>
      </w:r>
      <w:r>
        <w:t xml:space="preserve"> </w:t>
      </w:r>
      <w:r>
        <w:rPr>
          <w:rStyle w:val="VerbatimChar"/>
        </w:rPr>
        <w:t xml:space="preserve">vw_asts_bucket_pivot</w:t>
      </w:r>
      <w:r>
        <w:t xml:space="preserve"> </w:t>
      </w:r>
      <w:r>
        <w:t xml:space="preserve">— wide → long, the engine of the charts</w:t>
      </w:r>
    </w:p>
    <w:p>
      <w:pPr>
        <w:pStyle w:val="FirstParagraph"/>
      </w:pPr>
      <w:r>
        <w:rPr>
          <w:bCs/>
          <w:b/>
        </w:rPr>
        <w:t xml:space="preserve">The business need that drove it:</w:t>
      </w:r>
      <w:r>
        <w:t xml:space="preserve"> </w:t>
      </w:r>
      <w:r>
        <w:t xml:space="preserve">the hero chart and the exposure-change chart both need</w:t>
      </w:r>
      <w:r>
        <w:t xml:space="preserve"> </w:t>
      </w:r>
      <w:r>
        <w:rPr>
          <w:bCs/>
          <w:b/>
        </w:rPr>
        <w:t xml:space="preserve">Time Bucket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Series</w:t>
      </w:r>
      <w:r>
        <w:t xml:space="preserve"> </w:t>
      </w:r>
      <w:r>
        <w:t xml:space="preserve">as</w:t>
      </w:r>
      <w:r>
        <w:t xml:space="preserve"> </w:t>
      </w:r>
      <w:r>
        <w:rPr>
          <w:iCs/>
          <w:i/>
        </w:rPr>
        <w:t xml:space="preserve">dimensions you can put on an axis / color by</w:t>
      </w:r>
      <w:r>
        <w:t xml:space="preserve">. But</w:t>
      </w:r>
      <w:r>
        <w:t xml:space="preserve"> </w:t>
      </w:r>
      <w:r>
        <w:rPr>
          <w:rStyle w:val="VerbatimChar"/>
        </w:rPr>
        <w:t xml:space="preserve">asts</w:t>
      </w:r>
      <w:r>
        <w:t xml:space="preserve"> </w:t>
      </w:r>
      <w:r>
        <w:t xml:space="preserve">stores buckets</w:t>
      </w:r>
      <w:r>
        <w:t xml:space="preserve"> </w:t>
      </w:r>
      <w:r>
        <w:rPr>
          <w:bCs/>
          <w:b/>
        </w:rPr>
        <w:t xml:space="preserve">wide</w:t>
      </w:r>
      <w:r>
        <w:t xml:space="preserve"> </w:t>
      </w:r>
      <w:r>
        <w:t xml:space="preserve">(each bucket is a separate column) and has no single</w:t>
      </w:r>
      <w:r>
        <w:t xml:space="preserve"> </w:t>
      </w:r>
      <w:r>
        <w:t xml:space="preserve">“</w:t>
      </w:r>
      <w:r>
        <w:t xml:space="preserve">series</w:t>
      </w:r>
      <w:r>
        <w:t xml:space="preserve">”</w:t>
      </w:r>
      <w:r>
        <w:t xml:space="preserve"> </w:t>
      </w:r>
      <w:r>
        <w:t xml:space="preserve">column. You cannot put a column name on an axis. So we</w:t>
      </w:r>
      <w:r>
        <w:t xml:space="preserve"> </w:t>
      </w:r>
      <w:r>
        <w:rPr>
          <w:bCs/>
          <w:b/>
        </w:rPr>
        <w:t xml:space="preserve">unpivot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Before (wide) — one row:</w:t>
      </w:r>
    </w:p>
    <w:p>
      <w:pPr>
        <w:pStyle w:val="SourceCode"/>
      </w:pPr>
      <w:r>
        <w:rPr>
          <w:rStyle w:val="VerbatimChar"/>
        </w:rPr>
        <w:t xml:space="preserve">line                 scenario        Max_Usage_0_3_mo  Max_Usage_3_12_mo  ...  Limit_3_mo  ...</w:t>
      </w:r>
      <w:r>
        <w:br/>
      </w:r>
      <w:r>
        <w:rPr>
          <w:rStyle w:val="VerbatimChar"/>
        </w:rPr>
        <w:t xml:space="preserve">CP_(TDBK)_(AMCQ_C2C) Correlation_1.0 1,100,000         3,400,000          ...  10,000,000  ...</w:t>
      </w:r>
    </w:p>
    <w:p>
      <w:pPr>
        <w:pStyle w:val="FirstParagraph"/>
      </w:pPr>
      <w:r>
        <w:rPr>
          <w:bCs/>
          <w:b/>
        </w:rPr>
        <w:t xml:space="preserve">After (long) — many rows, one per (series, bucket):</w:t>
      </w:r>
    </w:p>
    <w:p>
      <w:pPr>
        <w:pStyle w:val="SourceCode"/>
      </w:pPr>
      <w:r>
        <w:rPr>
          <w:rStyle w:val="VerbatimChar"/>
        </w:rPr>
        <w:t xml:space="preserve">line                 series            time_bucket  bucket_order  value</w:t>
      </w:r>
      <w:r>
        <w:br/>
      </w:r>
      <w:r>
        <w:rPr>
          <w:rStyle w:val="VerbatimChar"/>
        </w:rPr>
        <w:t xml:space="preserve">CP_(TDBK)_(AMCQ_C2C) Correlation_1.0   0-3 Mo       1             1,100,000</w:t>
      </w:r>
      <w:r>
        <w:br/>
      </w:r>
      <w:r>
        <w:rPr>
          <w:rStyle w:val="VerbatimChar"/>
        </w:rPr>
        <w:t xml:space="preserve">CP_(TDBK)_(AMCQ_C2C) Correlation_1.0   3-12 Mo      2             3,400,000</w:t>
      </w:r>
      <w:r>
        <w:br/>
      </w:r>
      <w:r>
        <w:rPr>
          <w:rStyle w:val="VerbatimChar"/>
        </w:rPr>
        <w:t xml:space="preserve">CP_(TDBK)_(AMCQ_C2C) Limit             0-3 Mo       1             10,000,000</w:t>
      </w:r>
      <w:r>
        <w:br/>
      </w:r>
      <w:r>
        <w:rPr>
          <w:rStyle w:val="VerbatimChar"/>
        </w:rPr>
        <w:t xml:space="preserve">CP_(TDBK)_(AMCQ_C2C) Current Exposure  0-3 Mo       1             280,000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Now Time Bucket and Series are real columns → real attributes → axis + color.</w:t>
      </w:r>
    </w:p>
    <w:p>
      <w:pPr>
        <w:pStyle w:val="BodyText"/>
      </w:pPr>
      <w:r>
        <w:rPr>
          <w:bCs/>
          <w:b/>
        </w:rPr>
        <w:t xml:space="preserve">Construction logic, CTE by CTE: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asts0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SELECT DISTINCT *</w:t>
      </w:r>
      <w:r>
        <w:t xml:space="preserve"> </w:t>
      </w:r>
      <w:r>
        <w:t xml:space="preserve">to drop the 35 exact-duplicate rows.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line_rep</w:t>
      </w:r>
      <w:r>
        <w:t xml:space="preserve"> </w:t>
      </w:r>
      <w:r>
        <w:t xml:space="preserve">— one row per</w:t>
      </w:r>
      <w:r>
        <w:t xml:space="preserve"> </w:t>
      </w:r>
      <w:r>
        <w:rPr>
          <w:rStyle w:val="VerbatimChar"/>
        </w:rPr>
        <w:t xml:space="preserve">(Line, business_date)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MAX()</w:t>
      </w:r>
      <w:r>
        <w:t xml:space="preserve"> </w:t>
      </w:r>
      <w:r>
        <w:t xml:space="preserve">on every Limit and Standard_Usage column.</w:t>
      </w:r>
      <w:r>
        <w:t xml:space="preserve"> </w:t>
      </w:r>
      <w:r>
        <w:rPr>
          <w:iCs/>
          <w:i/>
        </w:rPr>
        <w:t xml:space="preserve">Why MAX:</w:t>
      </w:r>
      <w:r>
        <w:t xml:space="preserve"> </w:t>
      </w:r>
      <w:r>
        <w:t xml:space="preserve">Limit and Current are the</w:t>
      </w:r>
      <w:r>
        <w:t xml:space="preserve"> </w:t>
      </w:r>
      <w:r>
        <w:rPr>
          <w:bCs/>
          <w:b/>
        </w:rPr>
        <w:t xml:space="preserve">same across all scenario rows</w:t>
      </w:r>
      <w:r>
        <w:t xml:space="preserve">, so we need exactly one copy per line;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both de-duplicates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grabs the</w:t>
      </w:r>
      <w:r>
        <w:t xml:space="preserve"> </w:t>
      </w:r>
      <w:r>
        <w:rPr>
          <w:bCs/>
          <w:b/>
        </w:rPr>
        <w:t xml:space="preserve">non-null</w:t>
      </w:r>
      <w:r>
        <w:t xml:space="preserve"> </w:t>
      </w:r>
      <w:r>
        <w:t xml:space="preserve">value (solving the empty-</w:t>
      </w:r>
      <w:r>
        <w:rPr>
          <w:rStyle w:val="VerbatimChar"/>
        </w:rPr>
        <w:t xml:space="preserve">BASE</w:t>
      </w:r>
      <w:r>
        <w:t xml:space="preserve">-row problem). Grouping on</w:t>
      </w:r>
      <w:r>
        <w:t xml:space="preserve"> </w:t>
      </w:r>
      <w:r>
        <w:rPr>
          <w:rStyle w:val="VerbatimChar"/>
        </w:rPr>
        <w:t xml:space="preserve">(Line, business_date)</w:t>
      </w:r>
      <w:r>
        <w:t xml:space="preserve"> </w:t>
      </w:r>
      <w:r>
        <w:t xml:space="preserve">only (not</w:t>
      </w:r>
      <w:r>
        <w:t xml:space="preserve"> </w:t>
      </w:r>
      <w:r>
        <w:rPr>
          <w:rStyle w:val="VerbatimChar"/>
        </w:rPr>
        <w:t xml:space="preserve">Long_Name</w:t>
      </w:r>
      <w:r>
        <w:t xml:space="preserve">) avoids the variant-driven doubling.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current_long</w:t>
      </w:r>
      <w:r>
        <w:t xml:space="preserve"> </w:t>
      </w:r>
      <w:r>
        <w:t xml:space="preserve">— Standard_Usage unpivoted to one</w:t>
      </w:r>
      <w:r>
        <w:t xml:space="preserve"> </w:t>
      </w:r>
      <w:r>
        <w:rPr>
          <w:rStyle w:val="VerbatimChar"/>
        </w:rPr>
        <w:t xml:space="preserve">current_value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(line, bucket)</w:t>
      </w:r>
      <w:r>
        <w:t xml:space="preserve">, used to compute the stressed-vs-current delta.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base_long</w:t>
      </w:r>
      <w:r>
        <w:t xml:space="preserve"> </w:t>
      </w:r>
      <w:r>
        <w:t xml:space="preserve">— three</w:t>
      </w:r>
      <w:r>
        <w:t xml:space="preserve"> </w:t>
      </w:r>
      <w:r>
        <w:rPr>
          <w:rStyle w:val="VerbatimChar"/>
        </w:rPr>
        <w:t xml:space="preserve">UNION ALL</w:t>
      </w:r>
      <w:r>
        <w:t xml:space="preserve"> </w:t>
      </w:r>
      <w:r>
        <w:t xml:space="preserve">blocks, each unpivoting six wide columns via Spark</w:t>
      </w:r>
      <w:r>
        <w:t xml:space="preserve"> </w:t>
      </w:r>
      <w:r>
        <w:rPr>
          <w:rStyle w:val="VerbatimChar"/>
        </w:rPr>
        <w:t xml:space="preserve">stack(6, …)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Scenario usage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Max_Usage_*</w:t>
      </w:r>
      <w:r>
        <w:t xml:space="preserve"> </w:t>
      </w:r>
      <w:r>
        <w:t xml:space="preserve">(series = the scenario), read from all rows.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Current Exposure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Standard_Usage_*</w:t>
      </w:r>
      <w:r>
        <w:t xml:space="preserve"> </w:t>
      </w:r>
      <w:r>
        <w:t xml:space="preserve">(series =</w:t>
      </w:r>
      <w:r>
        <w:t xml:space="preserve"> </w:t>
      </w:r>
      <w:r>
        <w:rPr>
          <w:rStyle w:val="VerbatimChar"/>
        </w:rPr>
        <w:t xml:space="preserve">'Current Exposure'</w:t>
      </w:r>
      <w:r>
        <w:t xml:space="preserve">), from</w:t>
      </w:r>
      <w:r>
        <w:t xml:space="preserve"> </w:t>
      </w:r>
      <w:r>
        <w:rPr>
          <w:rStyle w:val="VerbatimChar"/>
        </w:rPr>
        <w:t xml:space="preserve">line_rep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Limit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Limit_*</w:t>
      </w:r>
      <w:r>
        <w:t xml:space="preserve"> </w:t>
      </w:r>
      <w:r>
        <w:t xml:space="preserve">(series =</w:t>
      </w:r>
      <w:r>
        <w:t xml:space="preserve"> </w:t>
      </w:r>
      <w:r>
        <w:rPr>
          <w:rStyle w:val="VerbatimChar"/>
        </w:rPr>
        <w:t xml:space="preserve">'Limit'</w:t>
      </w:r>
      <w:r>
        <w:t xml:space="preserve">), from</w:t>
      </w:r>
      <w:r>
        <w:t xml:space="preserve"> </w:t>
      </w:r>
      <w:r>
        <w:rPr>
          <w:rStyle w:val="VerbatimChar"/>
        </w:rPr>
        <w:t xml:space="preserve">line_rep</w:t>
      </w:r>
      <w:r>
        <w:t xml:space="preserve">, using the</w:t>
      </w:r>
      <w:r>
        <w:t xml:space="preserve"> </w:t>
      </w:r>
      <w:r>
        <w:rPr>
          <w:bCs/>
          <w:b/>
        </w:rPr>
        <w:t xml:space="preserve">positional</w:t>
      </w:r>
      <w:r>
        <w:t xml:space="preserve"> </w:t>
      </w:r>
      <w:r>
        <w:t xml:space="preserve">column→bucket map.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Final SELECT</w:t>
      </w:r>
      <w:r>
        <w:t xml:space="preserve"> </w:t>
      </w:r>
      <w:r>
        <w:t xml:space="preserve">— joins</w:t>
      </w:r>
      <w:r>
        <w:t xml:space="preserve"> </w:t>
      </w:r>
      <w:r>
        <w:rPr>
          <w:rStyle w:val="VerbatimChar"/>
        </w:rPr>
        <w:t xml:space="preserve">current_long</w:t>
      </w:r>
      <w:r>
        <w:t xml:space="preserve"> </w:t>
      </w:r>
      <w:r>
        <w:t xml:space="preserve">(adds</w:t>
      </w:r>
      <w:r>
        <w:t xml:space="preserve"> </w:t>
      </w:r>
      <w:r>
        <w:rPr>
          <w:rStyle w:val="VerbatimChar"/>
        </w:rPr>
        <w:t xml:space="preserve">current_value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change_vs_current = value − current_value</w:t>
      </w:r>
      <w:r>
        <w:t xml:space="preserve">) and maps raw scenario codes to descriptive names with an</w:t>
      </w:r>
      <w:r>
        <w:t xml:space="preserve"> </w:t>
      </w:r>
      <w:r>
        <w:rPr>
          <w:bCs/>
          <w:b/>
        </w:rPr>
        <w:t xml:space="preserve">inline CASE</w:t>
      </w:r>
      <w:r>
        <w:t xml:space="preserve"> </w:t>
      </w:r>
      <w:r>
        <w:t xml:space="preserve">(formerly the separate</w:t>
      </w:r>
      <w:r>
        <w:t xml:space="preserve"> </w:t>
      </w:r>
      <w:r>
        <w:rPr>
          <w:rStyle w:val="VerbatimChar"/>
        </w:rPr>
        <w:t xml:space="preserve">scenario_display_xref</w:t>
      </w:r>
      <w:r>
        <w:t xml:space="preserve"> </w:t>
      </w:r>
      <w:r>
        <w:t xml:space="preserve">view, now folded in here;</w:t>
      </w:r>
      <w:r>
        <w:t xml:space="preserve"> </w:t>
      </w:r>
      <w:r>
        <w:rPr>
          <w:rStyle w:val="VerbatimChar"/>
        </w:rPr>
        <w:t xml:space="preserve">COALESCE</w:t>
      </w:r>
      <w:r>
        <w:t xml:space="preserve"> </w:t>
      </w:r>
      <w:r>
        <w:t xml:space="preserve">leaves Limit/Current untouched). Each value is</w:t>
      </w:r>
      <w:r>
        <w:t xml:space="preserve"> </w:t>
      </w:r>
      <w:r>
        <w:rPr>
          <w:rStyle w:val="VerbatimChar"/>
        </w:rPr>
        <w:t xml:space="preserve">TRY_CAST(REPLACE(value_str, ',', '') AS DOUBLE)</w:t>
      </w:r>
      <w:r>
        <w:t xml:space="preserve"> </w:t>
      </w:r>
      <w:r>
        <w:t xml:space="preserve">— handling the all-string columns. A numeric</w:t>
      </w:r>
      <w:r>
        <w:t xml:space="preserve"> </w:t>
      </w:r>
      <w:r>
        <w:rPr>
          <w:rStyle w:val="VerbatimChar"/>
        </w:rPr>
        <w:t xml:space="preserve">bucket_order</w:t>
      </w:r>
      <w:r>
        <w:t xml:space="preserve"> </w:t>
      </w:r>
      <w:r>
        <w:t xml:space="preserve">rides along for correct sorting.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`d4001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centralus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tdvip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creditrisk`.`xvala_xva`.`vw_asts_bucket_pivot`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asts0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`d4001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centralus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tdvip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creditrisk`.`xvala_xva`.`asts`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line_rep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Line, business_date,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(Long_Name)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Long_Name,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(Limit_3_mo)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Limit_3_mo,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(Limit_1_Yr)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Limit_1_Yr,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(Limit_2_Yr)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Limit_2_Yr,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(Limit_5_Yr)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Limit_5_Yr,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(Limit_10_Yr)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Limit_10_Yr,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(Limit_50_Yr)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Limit_50_Yr,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(Standard_Usage_0_3_mo)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Standard_Usage_0_3_mo,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(Standard_Usage_3_12_mo)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Standard_Usage_3_12_mo,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(Standard_Usage_1_2_Yr)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Standard_Usage_1_2_Yr,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(Standard_Usage_2_5_Yr)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Standard_Usage_2_5_Yr,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(Standard_Usage_5_10_Yr)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Standard_Usage_5_10_Yr,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(Standard_Usage_10_50_Yr)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Standard_Usage_10_50_Yr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asts0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Line, business_date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current_long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line, business_date, bucket_order,</w:t>
      </w:r>
      <w:r>
        <w:br/>
      </w:r>
      <w:r>
        <w:rPr>
          <w:rStyle w:val="NormalTok"/>
        </w:rPr>
        <w:t xml:space="preserve">         TRY_CAST(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(value_str, 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current_value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line, business_date,</w:t>
      </w:r>
      <w:r>
        <w:br/>
      </w:r>
      <w:r>
        <w:rPr>
          <w:rStyle w:val="NormalTok"/>
        </w:rPr>
        <w:t xml:space="preserve">      stack(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,Standard_Usage_0_3_mo,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,Standard_Usage_3_12_mo,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,Standard_Usage_1_2_Yr,</w:t>
      </w:r>
      <w:r>
        <w:br/>
      </w:r>
      <w:r>
        <w:rPr>
          <w:rStyle w:val="NormalTok"/>
        </w:rPr>
        <w:t xml:space="preserve">             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,Standard_Usage_2_5_Yr,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,Standard_Usage_5_10_Yr,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,Standard_Usage_10_50_Yr</w:t>
      </w:r>
      <w:r>
        <w:br/>
      </w:r>
      <w:r>
        <w:rPr>
          <w:rStyle w:val="NormalTok"/>
        </w:rPr>
        <w:t xml:space="preserve">  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(bucket_order, value_str)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line_rep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base_long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-- 1) stressed usage per scenario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line, long_name, business_date, scenario, series, time_bucket, bucket_order,</w:t>
      </w:r>
      <w:r>
        <w:br/>
      </w:r>
      <w:r>
        <w:rPr>
          <w:rStyle w:val="NormalTok"/>
        </w:rPr>
        <w:t xml:space="preserve">         TRY_CAST(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(value_str, 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line, Long_Name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long_name, business_date,</w:t>
      </w:r>
      <w:r>
        <w:br/>
      </w:r>
      <w:r>
        <w:rPr>
          <w:rStyle w:val="NormalTok"/>
        </w:rPr>
        <w:t xml:space="preserve">           Scenario_Name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scenario, Scenario_Name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     stack(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'0-3 Mo'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,Max_Usage_0_3_mo, </w:t>
      </w:r>
      <w:r>
        <w:rPr>
          <w:rStyle w:val="StringTok"/>
        </w:rPr>
        <w:t xml:space="preserve">'3-12 Mo'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,Max_Usage_3_12_mo,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'1-2 Yr'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,Max_Usage_1_2_Yr, </w:t>
      </w:r>
      <w:r>
        <w:rPr>
          <w:rStyle w:val="StringTok"/>
        </w:rPr>
        <w:t xml:space="preserve">'2-5 Yr'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,Max_Usage_2_5_Yr,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'5-10 Yr'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,Max_Usage_5_10_Yr,</w:t>
      </w:r>
      <w:r>
        <w:rPr>
          <w:rStyle w:val="StringTok"/>
        </w:rPr>
        <w:t xml:space="preserve">'10-50 Yr'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,Max_Usage_10_50_Yr</w:t>
      </w:r>
      <w:r>
        <w:br/>
      </w:r>
      <w:r>
        <w:rPr>
          <w:rStyle w:val="NormalTok"/>
        </w:rPr>
        <w:t xml:space="preserve">       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(time_bucket, bucket_order, value_str)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asts0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-- 2) current exposure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line, long_name, business_date,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STRING), </w:t>
      </w:r>
      <w:r>
        <w:rPr>
          <w:rStyle w:val="StringTok"/>
        </w:rPr>
        <w:t xml:space="preserve">'Current Exposure'</w:t>
      </w:r>
      <w:r>
        <w:rPr>
          <w:rStyle w:val="NormalTok"/>
        </w:rPr>
        <w:t xml:space="preserve">, time_bucket, bucket_order,</w:t>
      </w:r>
      <w:r>
        <w:br/>
      </w:r>
      <w:r>
        <w:rPr>
          <w:rStyle w:val="NormalTok"/>
        </w:rPr>
        <w:t xml:space="preserve">         TRY_CAST(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(value_str, 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line, Long_Name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long_name, business_date,</w:t>
      </w:r>
      <w:r>
        <w:br/>
      </w:r>
      <w:r>
        <w:rPr>
          <w:rStyle w:val="NormalTok"/>
        </w:rPr>
        <w:t xml:space="preserve">           stack(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'0-3 Mo'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,Standard_Usage_0_3_mo, </w:t>
      </w:r>
      <w:r>
        <w:rPr>
          <w:rStyle w:val="StringTok"/>
        </w:rPr>
        <w:t xml:space="preserve">'3-12 Mo'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,Standard_Usage_3_12_mo,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'1-2 Yr'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,Standard_Usage_1_2_Yr, </w:t>
      </w:r>
      <w:r>
        <w:rPr>
          <w:rStyle w:val="StringTok"/>
        </w:rPr>
        <w:t xml:space="preserve">'2-5 Yr'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,Standard_Usage_2_5_Yr,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'5-10 Yr'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,Standard_Usage_5_10_Yr,</w:t>
      </w:r>
      <w:r>
        <w:rPr>
          <w:rStyle w:val="StringTok"/>
        </w:rPr>
        <w:t xml:space="preserve">'10-50 Yr'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,Standard_Usage_10_50_Yr</w:t>
      </w:r>
      <w:r>
        <w:br/>
      </w:r>
      <w:r>
        <w:rPr>
          <w:rStyle w:val="NormalTok"/>
        </w:rPr>
        <w:t xml:space="preserve">       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(time_bucket, bucket_order, value_str)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line_rep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-- 3) limit (positional column -&gt; bucket mapping)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line, long_name, business_date,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STRING), </w:t>
      </w:r>
      <w:r>
        <w:rPr>
          <w:rStyle w:val="StringTok"/>
        </w:rPr>
        <w:t xml:space="preserve">'Limit'</w:t>
      </w:r>
      <w:r>
        <w:rPr>
          <w:rStyle w:val="NormalTok"/>
        </w:rPr>
        <w:t xml:space="preserve">, time_bucket, bucket_order,</w:t>
      </w:r>
      <w:r>
        <w:br/>
      </w:r>
      <w:r>
        <w:rPr>
          <w:rStyle w:val="NormalTok"/>
        </w:rPr>
        <w:t xml:space="preserve">         TRY_CAST(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(value_str, 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line, Long_Name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long_name, business_date,</w:t>
      </w:r>
      <w:r>
        <w:br/>
      </w:r>
      <w:r>
        <w:rPr>
          <w:rStyle w:val="NormalTok"/>
        </w:rPr>
        <w:t xml:space="preserve">           stack(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'0-3 Mo'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,Limit_3_mo, </w:t>
      </w:r>
      <w:r>
        <w:rPr>
          <w:rStyle w:val="StringTok"/>
        </w:rPr>
        <w:t xml:space="preserve">'3-12 Mo'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,Limit_1_Yr,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'1-2 Yr'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,Limit_2_Yr, </w:t>
      </w:r>
      <w:r>
        <w:rPr>
          <w:rStyle w:val="StringTok"/>
        </w:rPr>
        <w:t xml:space="preserve">'2-5 Yr'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,Limit_5_Yr,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'5-10 Yr'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,Limit_10_Yr,</w:t>
      </w:r>
      <w:r>
        <w:rPr>
          <w:rStyle w:val="StringTok"/>
        </w:rPr>
        <w:t xml:space="preserve">'10-50 Yr'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,Limit_50_Yr</w:t>
      </w:r>
      <w:r>
        <w:br/>
      </w:r>
      <w:r>
        <w:rPr>
          <w:rStyle w:val="NormalTok"/>
        </w:rPr>
        <w:t xml:space="preserve">       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(time_bucket, bucket_order, value_str)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line_rep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b.line, b.long_name, b.business_date, b.scenario,</w:t>
      </w:r>
      <w:r>
        <w:br/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-- scenario display names are built in here (formerly the scenario_display_xref view).</w:t>
      </w:r>
      <w:r>
        <w:br/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-- Non-scenario rows (Limit, Current Exposure) fall through to the original label.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b.series</w:t>
      </w:r>
      <w:r>
        <w:br/>
      </w:r>
      <w:r>
        <w:rPr>
          <w:rStyle w:val="NormalTok"/>
        </w:rPr>
        <w:t xml:space="preserve">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'BASE'</w:t>
      </w:r>
      <w:r>
        <w:rPr>
          <w:rStyle w:val="NormalTok"/>
        </w:rPr>
        <w:t xml:space="preserve">           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'Base'</w:t>
      </w:r>
      <w:r>
        <w:br/>
      </w:r>
      <w:r>
        <w:rPr>
          <w:rStyle w:val="NormalTok"/>
        </w:rPr>
        <w:t xml:space="preserve">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'ZeroCorrelation'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'Volatility &amp; Correlation-0'</w:t>
      </w:r>
      <w:r>
        <w:br/>
      </w:r>
      <w:r>
        <w:rPr>
          <w:rStyle w:val="NormalTok"/>
        </w:rPr>
        <w:t xml:space="preserve">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'Correlation_1.0'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'Volatility &amp; Correlation-1'</w:t>
      </w:r>
      <w:r>
        <w:br/>
      </w:r>
      <w:r>
        <w:rPr>
          <w:rStyle w:val="NormalTok"/>
        </w:rPr>
        <w:t xml:space="preserve">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'Correlation_0.25'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'Volatility &amp; Intermediate-Market-0 Correlation'</w:t>
      </w:r>
      <w:r>
        <w:br/>
      </w:r>
      <w:r>
        <w:rPr>
          <w:rStyle w:val="NormalTok"/>
        </w:rPr>
        <w:t xml:space="preserve">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'Correlation_0.75'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'Volatility &amp; Intermediate-Market-1 Correlation'</w:t>
      </w:r>
      <w:r>
        <w:br/>
      </w:r>
      <w:r>
        <w:rPr>
          <w:rStyle w:val="NormalTok"/>
        </w:rPr>
        <w:t xml:space="preserve">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'ProdCorrelation'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'Volatility &amp; Market Correlation'</w:t>
      </w:r>
      <w:r>
        <w:br/>
      </w:r>
      <w:r>
        <w:rPr>
          <w:rStyle w:val="NormalTok"/>
        </w:rPr>
        <w:t xml:space="preserve">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'STRMARKETC75'</w:t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'STRMARKETC75'</w:t>
      </w:r>
      <w:r>
        <w:br/>
      </w:r>
      <w:r>
        <w:rPr>
          <w:rStyle w:val="NormalTok"/>
        </w:rPr>
        <w:t xml:space="preserve">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'STRMPR025'</w:t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'STRMPR025'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b.series</w:t>
      </w:r>
      <w:r>
        <w:br/>
      </w:r>
      <w:r>
        <w:rPr>
          <w:rStyle w:val="NormalTok"/>
        </w:rPr>
        <w:t xml:space="preserve">   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 b.time_bucket, b.bucket_order, b.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c.current_value,</w:t>
      </w:r>
      <w:r>
        <w:br/>
      </w:r>
      <w:r>
        <w:rPr>
          <w:rStyle w:val="NormalTok"/>
        </w:rPr>
        <w:t xml:space="preserve">       b.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c.current_value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change_vs_current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base_long b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current_long c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b.line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c.line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b.business_date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c.business_date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b.bucket_order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c.bucket_order;</w:t>
      </w:r>
    </w:p>
    <w:bookmarkEnd w:id="55"/>
    <w:bookmarkStart w:id="56" w:name="X37ad62cfbd6f671317c733f9067a916dd779a5a"/>
    <w:p>
      <w:pPr>
        <w:pStyle w:val="Heading3"/>
      </w:pPr>
      <w:r>
        <w:t xml:space="preserve">8.2</w:t>
      </w:r>
      <w:r>
        <w:t xml:space="preserve"> </w:t>
      </w:r>
      <w:r>
        <w:rPr>
          <w:rStyle w:val="VerbatimChar"/>
        </w:rPr>
        <w:t xml:space="preserve">vw_asts_largest_breach</w:t>
      </w:r>
      <w:r>
        <w:t xml:space="preserve"> </w:t>
      </w:r>
      <w:r>
        <w:t xml:space="preserve">— the breach summary, done properly</w:t>
      </w:r>
    </w:p>
    <w:p>
      <w:pPr>
        <w:pStyle w:val="FirstParagraph"/>
      </w:pPr>
      <w:r>
        <w:rPr>
          <w:bCs/>
          <w:b/>
        </w:rPr>
        <w:t xml:space="preserve">Business need:</w:t>
      </w:r>
      <w:r>
        <w:t xml:space="preserve"> </w:t>
      </w:r>
      <w:r>
        <w:t xml:space="preserve">the breach grid must show</w:t>
      </w:r>
      <w:r>
        <w:t xml:space="preserve"> </w:t>
      </w:r>
      <w:r>
        <w:rPr>
          <w:iCs/>
          <w:i/>
        </w:rPr>
        <w:t xml:space="preserve">the single worst breach</w:t>
      </w:r>
      <w:r>
        <w:t xml:space="preserve"> </w:t>
      </w:r>
      <w:r>
        <w:t xml:space="preserve">for a line — which bucket, which scenario, how big. The tearsheet says</w:t>
      </w:r>
      <w:r>
        <w:t xml:space="preserve"> </w:t>
      </w:r>
      <w:r>
        <w:t xml:space="preserve">“</w:t>
      </w:r>
      <w:r>
        <w:t xml:space="preserve">largest</w:t>
      </w:r>
      <w:r>
        <w:t xml:space="preserve"> </w:t>
      </w:r>
      <w:r>
        <w:rPr>
          <w:bCs/>
          <w:b/>
        </w:rPr>
        <w:t xml:space="preserve">breach</w:t>
      </w:r>
      <w:r>
        <w:t xml:space="preserve">,</w:t>
      </w:r>
      <w:r>
        <w:t xml:space="preserve">”</w:t>
      </w:r>
      <w:r>
        <w:t xml:space="preserve"> </w:t>
      </w:r>
      <w:r>
        <w:t xml:space="preserve">so we use the</w:t>
      </w:r>
      <w:r>
        <w:t xml:space="preserve"> </w:t>
      </w:r>
      <w:r>
        <w:rPr>
          <w:bCs/>
          <w:b/>
        </w:rPr>
        <w:t xml:space="preserve">pre-computed breach flags</w:t>
      </w:r>
      <w:r>
        <w:t xml:space="preserve"> </w:t>
      </w:r>
      <w:r>
        <w:t xml:space="preserve">(which already encode the two-condition rule) and rank the breaching cells by severity.</w:t>
      </w:r>
    </w:p>
    <w:p>
      <w:pPr>
        <w:pStyle w:val="BodyText"/>
      </w:pPr>
      <w:r>
        <w:rPr>
          <w:bCs/>
          <w:b/>
        </w:rPr>
        <w:t xml:space="preserve">Logic: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— Limit &amp; Current per</w:t>
      </w:r>
      <w:r>
        <w:t xml:space="preserve"> </w:t>
      </w:r>
      <w:r>
        <w:rPr>
          <w:rStyle w:val="VerbatimChar"/>
        </w:rPr>
        <w:t xml:space="preserve">(line, bucket)</w:t>
      </w:r>
      <w:r>
        <w:t xml:space="preserve">, non-null via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(same pattern as above).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breaches</w:t>
      </w:r>
      <w:r>
        <w:t xml:space="preserve"> </w:t>
      </w:r>
      <w:r>
        <w:t xml:space="preserve">— per</w:t>
      </w:r>
      <w:r>
        <w:t xml:space="preserve"> </w:t>
      </w:r>
      <w:r>
        <w:rPr>
          <w:rStyle w:val="VerbatimChar"/>
        </w:rPr>
        <w:t xml:space="preserve">(line, scenario, bucket)</w:t>
      </w:r>
      <w:r>
        <w:t xml:space="preserve">: stressed usage, breach flag, excess % (unpivoted together).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Final</w:t>
      </w:r>
      <w:r>
        <w:t xml:space="preserve"> </w:t>
      </w:r>
      <w:r>
        <w:t xml:space="preserve">— keep only</w:t>
      </w:r>
      <w:r>
        <w:t xml:space="preserve"> </w:t>
      </w:r>
      <w:r>
        <w:rPr>
          <w:rStyle w:val="VerbatimChar"/>
        </w:rPr>
        <w:t xml:space="preserve">breach_flag = 'TRUE'</w:t>
      </w:r>
      <w:r>
        <w:t xml:space="preserve">, rank per line by</w:t>
      </w:r>
      <w:r>
        <w:t xml:space="preserve"> </w:t>
      </w:r>
      <w:r>
        <w:rPr>
          <w:bCs/>
          <w:b/>
        </w:rPr>
        <w:t xml:space="preserve">excess amount</w:t>
      </w:r>
      <w:r>
        <w:t xml:space="preserve"> </w:t>
      </w:r>
      <w:r>
        <w:t xml:space="preserve">(</w:t>
      </w:r>
      <w:r>
        <w:rPr>
          <w:rStyle w:val="VerbatimChar"/>
        </w:rPr>
        <w:t xml:space="preserve">stressed − limit</w:t>
      </w:r>
      <w:r>
        <w:t xml:space="preserve">) descending, take the top row.</w:t>
      </w:r>
      <w:r>
        <w:t xml:space="preserve"> </w:t>
      </w:r>
      <w:r>
        <w:rPr>
          <w:iCs/>
          <w:i/>
        </w:rPr>
        <w:t xml:space="preserve">Ranking choice:</w:t>
      </w:r>
      <w:r>
        <w:t xml:space="preserve"> </w:t>
      </w:r>
      <w:r>
        <w:t xml:space="preserve">by dollar excess; switch the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excess_pct</w:t>
      </w:r>
      <w:r>
        <w:t xml:space="preserve"> </w:t>
      </w:r>
      <w:r>
        <w:t xml:space="preserve">if the methodology defines</w:t>
      </w:r>
      <w:r>
        <w:t xml:space="preserve"> </w:t>
      </w:r>
      <w:r>
        <w:t xml:space="preserve">“</w:t>
      </w:r>
      <w:r>
        <w:t xml:space="preserve">largest</w:t>
      </w:r>
      <w:r>
        <w:t xml:space="preserve">”</w:t>
      </w:r>
      <w:r>
        <w:t xml:space="preserve"> </w:t>
      </w:r>
      <w:r>
        <w:t xml:space="preserve">by percentage.</w:t>
      </w:r>
      <w:r>
        <w:t xml:space="preserve"> </w:t>
      </w:r>
      <w:r>
        <w:t xml:space="preserve">- One row per line,</w:t>
      </w:r>
      <w:r>
        <w:t xml:space="preserve"> </w:t>
      </w:r>
      <w:r>
        <w:rPr>
          <w:bCs/>
          <w:b/>
        </w:rPr>
        <w:t xml:space="preserve">single-table</w:t>
      </w:r>
      <w:r>
        <w:t xml:space="preserve"> </w:t>
      </w:r>
      <w:r>
        <w:t xml:space="preserve">→ the grid reads everything from here (no fan-out).</w:t>
      </w:r>
    </w:p>
    <w:p>
      <w:pPr>
        <w:pStyle w:val="BlockText"/>
      </w:pPr>
      <w:r>
        <w:rPr>
          <w:bCs/>
          <w:b/>
        </w:rPr>
        <w:t xml:space="preserve">Line Expiry Date is intentionally NOT in this view.</w:t>
      </w:r>
      <w:r>
        <w:t xml:space="preserve"> </w:t>
      </w:r>
      <w:r>
        <w:t xml:space="preserve">It is modelled as an attribute/form of</w:t>
      </w:r>
      <w:r>
        <w:t xml:space="preserve"> </w:t>
      </w:r>
      <w:r>
        <w:rPr>
          <w:bCs/>
          <w:b/>
        </w:rPr>
        <w:t xml:space="preserve">Line</w:t>
      </w:r>
      <w:r>
        <w:t xml:space="preserve"> </w:t>
      </w:r>
      <w:r>
        <w:t xml:space="preserve">sourced from the</w:t>
      </w:r>
      <w:r>
        <w:t xml:space="preserve"> </w:t>
      </w:r>
      <w:r>
        <w:rPr>
          <w:rStyle w:val="VerbatimChar"/>
        </w:rPr>
        <w:t xml:space="preserve">asts</w:t>
      </w:r>
      <w:r>
        <w:t xml:space="preserve"> </w:t>
      </w:r>
      <w:r>
        <w:t xml:space="preserve">table, so the Line relationship carries one expiry per line onto the grid (see README §2.3). Keeping it out of the view avoids the old cross-grain Cartesian without baking a date conversion into the breach SQL.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`d4001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centralus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tdvip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creditrisk`.`xvala_xva`.`vw_asts_largest_breach`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asts0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`d4001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centralus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tdvip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creditrisk`.`xvala_xva`.`asts`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FunctionTok"/>
        </w:rPr>
        <w:t xml:space="preserve">ref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line, business_date, bucket_order,</w:t>
      </w:r>
      <w:r>
        <w:br/>
      </w:r>
      <w:r>
        <w:rPr>
          <w:rStyle w:val="NormalTok"/>
        </w:rPr>
        <w:t xml:space="preserve">         TRY_CAST(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(limit_str,  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limit_value,</w:t>
      </w:r>
      <w:r>
        <w:br/>
      </w:r>
      <w:r>
        <w:rPr>
          <w:rStyle w:val="NormalTok"/>
        </w:rPr>
        <w:t xml:space="preserve">         TRY_CAST(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(current_str,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current_value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line, business_date,</w:t>
      </w:r>
      <w:r>
        <w:br/>
      </w:r>
      <w:r>
        <w:rPr>
          <w:rStyle w:val="NormalTok"/>
        </w:rPr>
        <w:t xml:space="preserve">      stack(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,Limit_3_mo,Standard_Usage_0_3_mo,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,Limit_1_Yr,Standard_Usage_3_12_mo,</w:t>
      </w:r>
      <w:r>
        <w:br/>
      </w:r>
      <w:r>
        <w:rPr>
          <w:rStyle w:val="NormalTok"/>
        </w:rPr>
        <w:t xml:space="preserve">          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,Limit_2_Yr,Standard_Usage_1_2_Yr, 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,Limit_5_Yr,Standard_Usage_2_5_Yr,</w:t>
      </w:r>
      <w:r>
        <w:br/>
      </w:r>
      <w:r>
        <w:rPr>
          <w:rStyle w:val="NormalTok"/>
        </w:rPr>
        <w:t xml:space="preserve">             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,Limit_10_Yr,Standard_Usage_5_10_Yr,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,Limit_50_Yr,Standard_Usage_10_50_Yr</w:t>
      </w:r>
      <w:r>
        <w:br/>
      </w:r>
      <w:r>
        <w:rPr>
          <w:rStyle w:val="NormalTok"/>
        </w:rPr>
        <w:t xml:space="preserve">  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(bucket_order, limit_str, current_str)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Line, business_date,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(Limit_3_mo) Limit_3_mo,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(Limit_1_Yr) Limit_1_Yr,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(Limit_2_Yr) Limit_2_Yr,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(Limit_5_Yr) Limit_5_Yr,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(Limit_10_Yr) Limit_10_Yr,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(Limit_50_Yr) Limit_50_Yr,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(Standard_Usage_0_3_mo) Standard_Usage_0_3_mo,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(Standard_Usage_3_12_mo) Standard_Usage_3_12_mo,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(Standard_Usage_1_2_Yr) Standard_Usage_1_2_Yr,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(Standard_Usage_2_5_Yr) Standard_Usage_2_5_Yr,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(Standard_Usage_5_10_Yr) Standard_Usage_5_10_Yr,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(Standard_Usage_10_50_Yr) Standard_Usage_10_50_Yr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asts0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Line, business_date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breaches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line, business_date, scenario, time_bucket, bucket_order,</w:t>
      </w:r>
      <w:r>
        <w:br/>
      </w:r>
      <w:r>
        <w:rPr>
          <w:rStyle w:val="NormalTok"/>
        </w:rPr>
        <w:t xml:space="preserve">         TRY_CAST(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(usage_str,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stressed_exposure,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UPPER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(breach_str))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breach_flag, excess_pct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line, business_date, Scenario_Name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scenario,</w:t>
      </w:r>
      <w:r>
        <w:br/>
      </w:r>
      <w:r>
        <w:rPr>
          <w:rStyle w:val="NormalTok"/>
        </w:rPr>
        <w:t xml:space="preserve">      stack(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'0-3 Mo'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,Max_Usage_0_3_mo,  `</w:t>
      </w:r>
      <w:r>
        <w:rPr>
          <w:rStyle w:val="DecValTok"/>
        </w:rPr>
        <w:t xml:space="preserve">0</w:t>
      </w:r>
      <w:r>
        <w:rPr>
          <w:rStyle w:val="NormalTok"/>
        </w:rPr>
        <w:t xml:space="preserve">_3_mo_Excess_Breach`,  `</w:t>
      </w:r>
      <w:r>
        <w:rPr>
          <w:rStyle w:val="DecValTok"/>
        </w:rPr>
        <w:t xml:space="preserve">0</w:t>
      </w:r>
      <w:r>
        <w:rPr>
          <w:rStyle w:val="NormalTok"/>
        </w:rPr>
        <w:t xml:space="preserve">_3_mo_Excess_Percentage`,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'3-12 Mo'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,Max_Usage_3_12_mo, `</w:t>
      </w:r>
      <w:r>
        <w:rPr>
          <w:rStyle w:val="DecValTok"/>
        </w:rPr>
        <w:t xml:space="preserve">3</w:t>
      </w:r>
      <w:r>
        <w:rPr>
          <w:rStyle w:val="NormalTok"/>
        </w:rPr>
        <w:t xml:space="preserve">_12_mo_Excess_Breach`, `</w:t>
      </w:r>
      <w:r>
        <w:rPr>
          <w:rStyle w:val="DecValTok"/>
        </w:rPr>
        <w:t xml:space="preserve">3</w:t>
      </w:r>
      <w:r>
        <w:rPr>
          <w:rStyle w:val="NormalTok"/>
        </w:rPr>
        <w:t xml:space="preserve">_12_mo_Excess_Percentage`,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'1-2 Yr'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,Max_Usage_1_2_Yr,  `</w:t>
      </w:r>
      <w:r>
        <w:rPr>
          <w:rStyle w:val="DecValTok"/>
        </w:rPr>
        <w:t xml:space="preserve">1</w:t>
      </w:r>
      <w:r>
        <w:rPr>
          <w:rStyle w:val="NormalTok"/>
        </w:rPr>
        <w:t xml:space="preserve">_2_Yr_Excess_Breach`,  `</w:t>
      </w:r>
      <w:r>
        <w:rPr>
          <w:rStyle w:val="DecValTok"/>
        </w:rPr>
        <w:t xml:space="preserve">1</w:t>
      </w:r>
      <w:r>
        <w:rPr>
          <w:rStyle w:val="NormalTok"/>
        </w:rPr>
        <w:t xml:space="preserve">_2_Yr_Excess_Percentage`,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'2-5 Yr'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,Max_Usage_2_5_Yr,  `</w:t>
      </w:r>
      <w:r>
        <w:rPr>
          <w:rStyle w:val="DecValTok"/>
        </w:rPr>
        <w:t xml:space="preserve">2</w:t>
      </w:r>
      <w:r>
        <w:rPr>
          <w:rStyle w:val="NormalTok"/>
        </w:rPr>
        <w:t xml:space="preserve">_5_Yr_Excess_Breach`,  `</w:t>
      </w:r>
      <w:r>
        <w:rPr>
          <w:rStyle w:val="DecValTok"/>
        </w:rPr>
        <w:t xml:space="preserve">2</w:t>
      </w:r>
      <w:r>
        <w:rPr>
          <w:rStyle w:val="NormalTok"/>
        </w:rPr>
        <w:t xml:space="preserve">_5_Yr_Excess_Percentage`,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'5-10 Yr'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,Max_Usage_5_10_Yr, `</w:t>
      </w:r>
      <w:r>
        <w:rPr>
          <w:rStyle w:val="DecValTok"/>
        </w:rPr>
        <w:t xml:space="preserve">5</w:t>
      </w:r>
      <w:r>
        <w:rPr>
          <w:rStyle w:val="NormalTok"/>
        </w:rPr>
        <w:t xml:space="preserve">_10_Yr_Excess_Breach`, `</w:t>
      </w:r>
      <w:r>
        <w:rPr>
          <w:rStyle w:val="DecValTok"/>
        </w:rPr>
        <w:t xml:space="preserve">5</w:t>
      </w:r>
      <w:r>
        <w:rPr>
          <w:rStyle w:val="NormalTok"/>
        </w:rPr>
        <w:t xml:space="preserve">_10_Yr_Excess_Percentage`,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'10-50 Yr'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,Max_Usage_10_50_Yr,`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_50_Yr_Excess_Breach`,`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_50_Yr_Excess_Percentage`</w:t>
      </w:r>
      <w:r>
        <w:br/>
      </w:r>
      <w:r>
        <w:rPr>
          <w:rStyle w:val="NormalTok"/>
        </w:rPr>
        <w:t xml:space="preserve">  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(time_bucket, bucket_order, usage_str, breach_str, excess_pct)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asts0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b.line, b.business_date,</w:t>
      </w:r>
      <w:r>
        <w:br/>
      </w:r>
      <w:r>
        <w:rPr>
          <w:rStyle w:val="NormalTok"/>
        </w:rPr>
        <w:t xml:space="preserve">         b.scenario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scenario_of_largest_breach,</w:t>
      </w:r>
      <w:r>
        <w:br/>
      </w:r>
      <w:r>
        <w:rPr>
          <w:rStyle w:val="NormalTok"/>
        </w:rPr>
        <w:t xml:space="preserve">         b.time_bucket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bucket_of_largest_breach,</w:t>
      </w:r>
      <w:r>
        <w:br/>
      </w:r>
      <w:r>
        <w:rPr>
          <w:rStyle w:val="NormalTok"/>
        </w:rPr>
        <w:t xml:space="preserve">         b.stressed_exposure,</w:t>
      </w:r>
      <w:r>
        <w:br/>
      </w:r>
      <w:r>
        <w:rPr>
          <w:rStyle w:val="NormalTok"/>
        </w:rPr>
        <w:t xml:space="preserve">         r.limit_value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r.current_value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current_exposure,</w:t>
      </w:r>
      <w:r>
        <w:br/>
      </w:r>
      <w:r>
        <w:rPr>
          <w:rStyle w:val="NormalTok"/>
        </w:rPr>
        <w:t xml:space="preserve">         (b.stressed_exposure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r.limit_value)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excess_amount,</w:t>
      </w:r>
      <w:r>
        <w:br/>
      </w:r>
      <w:r>
        <w:rPr>
          <w:rStyle w:val="NormalTok"/>
        </w:rPr>
        <w:t xml:space="preserve">         b.excess_pct,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b.line, b.business_date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(b.stressed_exposure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r.limit_value)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breaches b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 r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b.line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r.line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b.business_date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r.business_date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b.bucket_order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r.bucket_order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b.breach_flag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BlockText"/>
      </w:pPr>
      <w:r>
        <w:t xml:space="preserve">Lines with</w:t>
      </w:r>
      <w:r>
        <w:t xml:space="preserve"> </w:t>
      </w:r>
      <w:r>
        <w:rPr>
          <w:bCs/>
          <w:b/>
        </w:rPr>
        <w:t xml:space="preserve">no breach</w:t>
      </w:r>
      <w:r>
        <w:t xml:space="preserve"> </w:t>
      </w:r>
      <w:r>
        <w:t xml:space="preserve">return no row (correct — nothing to show). Confirm the breach-flag string is literally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your data.</w:t>
      </w:r>
    </w:p>
    <w:bookmarkEnd w:id="56"/>
    <w:bookmarkStart w:id="57" w:name="X15ea37efb1503fe8348fee5b588465688f7b770"/>
    <w:p>
      <w:pPr>
        <w:pStyle w:val="Heading3"/>
      </w:pPr>
      <w:r>
        <w:t xml:space="preserve">8.3</w:t>
      </w:r>
      <w:r>
        <w:t xml:space="preserve"> </w:t>
      </w:r>
      <w:r>
        <w:rPr>
          <w:rStyle w:val="VerbatimChar"/>
        </w:rPr>
        <w:t xml:space="preserve">breach_commentary</w:t>
      </w:r>
      <w:r>
        <w:t xml:space="preserve"> </w:t>
      </w:r>
      <w:r>
        <w:t xml:space="preserve">— write-back table (blueprint)</w:t>
      </w:r>
    </w:p>
    <w:p>
      <w:pPr>
        <w:pStyle w:val="FirstParagraph"/>
      </w:pPr>
      <w:r>
        <w:rPr>
          <w:bCs/>
          <w:b/>
        </w:rPr>
        <w:t xml:space="preserve">Business need:</w:t>
      </w:r>
      <w:r>
        <w:t xml:space="preserve"> </w:t>
      </w:r>
      <w:r>
        <w:t xml:space="preserve">the analyst’s narrative (#4–6: Primary/Secondary Risk Drivers, Products Driving Exposure, Notes) has</w:t>
      </w:r>
      <w:r>
        <w:t xml:space="preserve"> </w:t>
      </w:r>
      <w:r>
        <w:rPr>
          <w:bCs/>
          <w:b/>
        </w:rPr>
        <w:t xml:space="preserve">no source feed</w:t>
      </w:r>
      <w:r>
        <w:t xml:space="preserve"> </w:t>
      </w:r>
      <w:r>
        <w:t xml:space="preserve">— a human types it. Strategy’s</w:t>
      </w:r>
      <w:r>
        <w:t xml:space="preserve"> </w:t>
      </w:r>
      <w:r>
        <w:rPr>
          <w:bCs/>
          <w:b/>
        </w:rPr>
        <w:t xml:space="preserve">SQL Transaction Forms</w:t>
      </w:r>
      <w:r>
        <w:t xml:space="preserve"> </w:t>
      </w:r>
      <w:r>
        <w:t xml:space="preserve">turn a dashboard grid into an editable form that writes back to this table; the breach grid then</w:t>
      </w:r>
      <w:r>
        <w:t xml:space="preserve"> </w:t>
      </w:r>
      <w:r>
        <w:rPr>
          <w:rStyle w:val="VerbatimChar"/>
        </w:rPr>
        <w:t xml:space="preserve">LEFT JOIN</w:t>
      </w:r>
      <w:r>
        <w:t xml:space="preserve">s it (1:1 by line+date, no fan-out) to display the commentary.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`d4001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centralus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tdvip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creditrisk`.`xvala_xva`.`breach_commentary` (</w:t>
      </w:r>
      <w:r>
        <w:br/>
      </w:r>
      <w:r>
        <w:rPr>
          <w:rStyle w:val="NormalTok"/>
        </w:rPr>
        <w:t xml:space="preserve">  line STRING, business_date STRING,</w:t>
      </w:r>
      <w:r>
        <w:br/>
      </w:r>
      <w:r>
        <w:rPr>
          <w:rStyle w:val="NormalTok"/>
        </w:rPr>
        <w:t xml:space="preserve">  primary_risk_driver STRING, secondary_risk_driver STRING,</w:t>
      </w:r>
      <w:r>
        <w:br/>
      </w:r>
      <w:r>
        <w:rPr>
          <w:rStyle w:val="NormalTok"/>
        </w:rPr>
        <w:t xml:space="preserve">  products_driving_exposure STRING, notes STRING,</w:t>
      </w:r>
      <w:r>
        <w:br/>
      </w:r>
      <w:r>
        <w:rPr>
          <w:rStyle w:val="NormalTok"/>
        </w:rPr>
        <w:t xml:space="preserve">  updated_by STRING, updated_at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DELTA;</w:t>
      </w:r>
    </w:p>
    <w:p>
      <w:pPr>
        <w:pStyle w:val="BlockText"/>
      </w:pPr>
      <w:r>
        <w:t xml:space="preserve">Edits should be permission-scoped and audited (</w:t>
      </w:r>
      <w:r>
        <w:rPr>
          <w:rStyle w:val="VerbatimChar"/>
        </w:rPr>
        <w:t xml:space="preserve">updated_by</w:t>
      </w:r>
      <w:r>
        <w:t xml:space="preserve">/</w:t>
      </w:r>
      <w:r>
        <w:rPr>
          <w:rStyle w:val="VerbatimChar"/>
        </w:rPr>
        <w:t xml:space="preserve">updated_at</w:t>
      </w:r>
      <w:r>
        <w:t xml:space="preserve">) — breach commentary is sensitive. Confirm Transaction-Forms write-back is enabled for the Databricks SQL warehouse connection (a newer capability).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parked-items"/>
    <w:p>
      <w:pPr>
        <w:pStyle w:val="Heading2"/>
      </w:pPr>
      <w:r>
        <w:t xml:space="preserve">9. Parked Items</w:t>
      </w:r>
    </w:p>
    <w:p>
      <w:pPr>
        <w:pStyle w:val="FirstParagraph"/>
      </w:pPr>
      <w:r>
        <w:t xml:space="preserve">For the rebuild team and future iterations:</w:t>
      </w:r>
    </w:p>
    <w:p>
      <w:pPr>
        <w:pStyle w:val="BodyText"/>
      </w:pPr>
      <w:r>
        <w:rPr>
          <w:bCs/>
          <w:b/>
        </w:rPr>
        <w:t xml:space="preserve">Data quality (fix at source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asts</w:t>
      </w:r>
      <w:r>
        <w:rPr>
          <w:bCs/>
          <w:b/>
        </w:rPr>
        <w:t xml:space="preserve">):</w:t>
      </w:r>
      <w:r>
        <w:t xml:space="preserve"> </w:t>
      </w:r>
      <w:r>
        <w:t xml:space="preserve">- 35 duplicate rows ·</w:t>
      </w:r>
      <w:r>
        <w:t xml:space="preserve"> </w:t>
      </w:r>
      <w:r>
        <w:rPr>
          <w:rStyle w:val="VerbatimChar"/>
        </w:rPr>
        <w:t xml:space="preserve">Long_Name</w:t>
      </w:r>
      <w:r>
        <w:t xml:space="preserve"> </w:t>
      </w:r>
      <w:r>
        <w:t xml:space="preserve">variants · null Limit on the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row · grain is line × scenario but not perfectly clean.</w:t>
      </w:r>
    </w:p>
    <w:p>
      <w:pPr>
        <w:pStyle w:val="BodyText"/>
      </w:pPr>
      <w:r>
        <w:rPr>
          <w:bCs/>
          <w:b/>
        </w:rPr>
        <w:t xml:space="preserve">Dashboard polish: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Limit as a line</w:t>
      </w:r>
      <w:r>
        <w:t xml:space="preserve"> </w:t>
      </w:r>
      <w:r>
        <w:t xml:space="preserve">on the hero chart — needs a</w:t>
      </w:r>
      <w:r>
        <w:t xml:space="preserve"> </w:t>
      </w:r>
      <w:r>
        <w:rPr>
          <w:rStyle w:val="VerbatimChar"/>
        </w:rPr>
        <w:t xml:space="preserve">limit_value</w:t>
      </w:r>
      <w:r>
        <w:t xml:space="preserve"> </w:t>
      </w:r>
      <w:r>
        <w:t xml:space="preserve">column + a derived Limit metric (combo chart), because shape is set</w:t>
      </w:r>
      <w:r>
        <w:t xml:space="preserve"> </w:t>
      </w:r>
      <w:r>
        <w:rPr>
          <w:iCs/>
          <w:i/>
        </w:rPr>
        <w:t xml:space="preserve">per metric</w:t>
      </w:r>
      <w:r>
        <w:t xml:space="preserve"> </w:t>
      </w:r>
      <w:r>
        <w:t xml:space="preserve">and Limit is currently a</w:t>
      </w:r>
      <w:r>
        <w:t xml:space="preserve"> </w:t>
      </w:r>
      <w:r>
        <w:rPr>
          <w:iCs/>
          <w:i/>
        </w:rPr>
        <w:t xml:space="preserve">series element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Color-lock</w:t>
      </w:r>
      <w:r>
        <w:t xml:space="preserve"> </w:t>
      </w:r>
      <w:r>
        <w:t xml:space="preserve">scenarios page-wide so they’re one color everywhere (also enables the shared legend box).</w:t>
      </w:r>
      <w:r>
        <w:t xml:space="preserve"> </w:t>
      </w:r>
      <w:r>
        <w:t xml:space="preserve">- Validate the</w:t>
      </w:r>
      <w:r>
        <w:t xml:space="preserve"> </w:t>
      </w:r>
      <w:r>
        <w:rPr>
          <w:bCs/>
          <w:b/>
        </w:rPr>
        <w:t xml:space="preserve">scenario display-name dictionary</w:t>
      </w:r>
      <w:r>
        <w:t xml:space="preserve"> </w:t>
      </w:r>
      <w:r>
        <w:t xml:space="preserve">(§8.3) and finalize the standalone legend box layout.</w:t>
      </w:r>
    </w:p>
    <w:p>
      <w:pPr>
        <w:pStyle w:val="BodyText"/>
      </w:pPr>
      <w:r>
        <w:rPr>
          <w:bCs/>
          <w:b/>
        </w:rPr>
        <w:t xml:space="preserve">External / manual feeds (annotations):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#1 Lending Manager</w:t>
      </w:r>
      <w:r>
        <w:t xml:space="preserve"> </w:t>
      </w:r>
      <w:r>
        <w:t xml:space="preserve">→ IHMS (Rita’s query).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#2 CSA Direction + CP/TD Thresholds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clients_report</w:t>
      </w:r>
      <w:r>
        <w:t xml:space="preserve"> </w:t>
      </w:r>
      <w:r>
        <w:t xml:space="preserve">(agreement block) and SCREAM</w:t>
      </w:r>
      <w:r>
        <w:t xml:space="preserve"> </w:t>
      </w:r>
      <w:r>
        <w:rPr>
          <w:rStyle w:val="VerbatimChar"/>
        </w:rPr>
        <w:t xml:space="preserve">netting_xref.csv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client_info_nova.csv</w:t>
      </w:r>
      <w:r>
        <w:t xml:space="preserve">; CSA is per</w:t>
      </w:r>
      <w:r>
        <w:t xml:space="preserve"> </w:t>
      </w:r>
      <w:r>
        <w:rPr>
          <w:bCs/>
          <w:b/>
        </w:rPr>
        <w:t xml:space="preserve">counterparty</w:t>
      </w:r>
      <w:r>
        <w:t xml:space="preserve">, joined Line → Counterparty (the line name embeds the CP code, e.g. AMCQ).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#4–6 Risk Drivers / Products / Notes</w:t>
      </w:r>
      <w:r>
        <w:t xml:space="preserve"> </w:t>
      </w:r>
      <w:r>
        <w:t xml:space="preserve">→ manual write-back via</w:t>
      </w:r>
      <w:r>
        <w:t xml:space="preserve"> </w:t>
      </w:r>
      <w:r>
        <w:rPr>
          <w:rStyle w:val="VerbatimChar"/>
        </w:rPr>
        <w:t xml:space="preserve">breach_commentary</w:t>
      </w:r>
      <w:r>
        <w:t xml:space="preserve"> </w:t>
      </w:r>
      <w:r>
        <w:t xml:space="preserve">+ Transaction Forms.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#7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Number</w:t>
      </w:r>
      <w:r>
        <w:rPr>
          <w:bCs/>
          <w:b/>
        </w:rPr>
        <w:t xml:space="preserve">”</w:t>
      </w:r>
      <w:r>
        <w:t xml:space="preserve"> </w:t>
      </w:r>
      <w:r>
        <w:t xml:space="preserve">→ a derived rank of breaches by stressed PFE (a portfolio/ranked-list view).</w:t>
      </w:r>
    </w:p>
    <w:p>
      <w:pPr>
        <w:pStyle w:val="BodyText"/>
      </w:pPr>
      <w:r>
        <w:rPr>
          <w:bCs/>
          <w:b/>
        </w:rPr>
        <w:t xml:space="preserve">Versioning:</w:t>
      </w:r>
      <w:r>
        <w:t xml:space="preserve"> </w:t>
      </w:r>
      <w:r>
        <w:t xml:space="preserve">the views and model can be exported to</w:t>
      </w:r>
      <w:r>
        <w:t xml:space="preserve"> </w:t>
      </w:r>
      <w:r>
        <w:rPr>
          <w:bCs/>
          <w:b/>
        </w:rPr>
        <w:t xml:space="preserve">YAML and stored in Git</w:t>
      </w:r>
      <w:r>
        <w:t xml:space="preserve"> </w:t>
      </w:r>
      <w:r>
        <w:t xml:space="preserve">(Strategy’s March 2026 capability) so the whole stack is version-controlled and auditable.</w:t>
      </w:r>
    </w:p>
    <w:p>
      <w:r>
        <w:pict>
          <v:rect style="width:0;height:1.5pt" o:hralign="center" o:hrstd="t" o:hr="t"/>
        </w:pict>
      </w:r>
    </w:p>
    <w:bookmarkEnd w:id="59"/>
    <w:bookmarkStart w:id="60" w:name="glossary"/>
    <w:p>
      <w:pPr>
        <w:pStyle w:val="Heading2"/>
      </w:pPr>
      <w:r>
        <w:t xml:space="preserve">10. Glossary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Counterparty Credit Risk — risk a trading counterparty defaults while owing TD.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Future Exposure — simulated high-percentile estimate of future exposure.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PFE within a tenor bucket under a scenario; how much of the limit is consumed.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exposure TD will carry on a line, per tenor bucket; encodes credit appetite.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Usage over limit per the two-condition rule (excess %</w:t>
            </w:r>
            <w:r>
              <w:t xml:space="preserve"> </w:t>
            </w:r>
            <w:r>
              <w:rPr>
                <w:iCs/>
                <w:i/>
              </w:rPr>
              <w:t xml:space="preserve">and</w:t>
            </w:r>
            <w:r>
              <w:t xml:space="preserve"> </w:t>
            </w:r>
            <w:r>
              <w:t xml:space="preserve">rating buffer).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Standard / Current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PFE under normal (unstressed) market assumptions.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Stressed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PFE after re-simulating under a stress scenario.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Gross Max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exposure before netting/collateral.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Netting (ISDA)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Offsetting positive and negative trade values into one net exposure.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Support Annex — the collateral agreement.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 / TD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far one side’s owing can grow before that side posts collateral.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Transfer Amount — collateral moves only in chunks ≥ MTA.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Tenor / Time 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Maturity band (0–3 Mo … 10–50 Yr) over which exposure is measured.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TD 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Intragroup line (faces a TD entity); carved out of external breach reporting.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OTC / SFT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Over-the-counter derivatives vs Securities Financing Transactions.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upstream Monte-Carlo engine where PFE is actually calculated.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AST tables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asts</w:t>
            </w:r>
            <w:r>
              <w:t xml:space="preserve"> </w:t>
            </w:r>
            <w:r>
              <w:t xml:space="preserve">(detailed, line × scenario, wide buckets) and</w:t>
            </w:r>
            <w:r>
              <w:t xml:space="preserve"> </w:t>
            </w:r>
            <w:r>
              <w:rPr>
                <w:rStyle w:val="VerbatimChar"/>
              </w:rPr>
              <w:t xml:space="preserve">ats_summary</w:t>
            </w:r>
            <w:r>
              <w:t xml:space="preserve"> </w:t>
            </w:r>
            <w:r>
              <w:t xml:space="preserve">(one row per line).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Percentage of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of All ÷ Base — how many times worse stress is than the base case.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Semantic model (Mosaic)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governed layer turning Databricks columns into business objects.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build notes. These are living notes — extend them as the parked items get implemented and as the scenario dictionary and CSA feeds are confirmed.</w: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2026-06-23T15:24:05Z</dcterms:created>
  <dcterms:modified xsi:type="dcterms:W3CDTF">2026-06-23T15:24:05Z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