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C8A"/>
          <w:sz w:val="32"/>
          <w:szCs w:val="32"/>
        </w:rPr>
        <w:t xml:space="preserve">Strategy as a BI Tool for CCR Use Cases</w:t>
      </w:r>
    </w:p>
    <w:p>
      <w:pPr>
        <w:spacing w:after="80"/>
      </w:pPr>
      <w:r>
        <w:rPr>
          <w:b/>
          <w:bCs/>
          <w:sz w:val="24"/>
          <w:szCs w:val="24"/>
        </w:rPr>
        <w:t xml:space="preserve">Feasibility assessment against George's requirements list</w:t>
      </w:r>
    </w:p>
    <w:p>
      <w:pPr>
        <w:spacing w:after="120"/>
      </w:pPr>
      <w:r>
        <w:t xml:space="preserve">Reena working notes — 30 April 2026</w:t>
      </w:r>
    </w:p>
    <w:p>
      <w:pPr>
        <w:spacing w:after="120"/>
      </w:pPr>
      <w:r>
        <w:t xml:space="preserve">Context: George Karahotzitis shared a 12-item requirements list originally pulled together for the GMC workstream when they were exploring PowerBI. This document assesses Strategy's ability to deliver against that list, and frames the conversation back to George.</w:t>
      </w:r>
    </w:p>
    <w:p>
      <w:pPr>
        <w:pStyle w:val="Heading1"/>
        <w:spacing w:after="200" w:before="360"/>
      </w:pPr>
      <w:r>
        <w:t xml:space="preserve">Headline answer</w:t>
      </w:r>
    </w:p>
    <w:p>
      <w:pPr>
        <w:spacing w:after="120"/>
      </w:pPr>
      <w:r>
        <w:t xml:space="preserve">Yes — every item on George's list is doable in Strategy. The variable isn't the BI tool, it's how much of the source data is already in Databricks vs still being sourced manually, from emails, or from upstream systems that haven't been pipelined yet.</w:t>
      </w:r>
    </w:p>
    <w:p>
      <w:pPr>
        <w:pBdr>
          <w:left w:val="single" w:color="2E5C8A" w:sz="18" w:space="6"/>
        </w:pBdr>
        <w:shd w:fill="E8F0FE" w:val="clear"/>
        <w:spacing w:after="160" w:before="80"/>
      </w:pPr>
      <w:r>
        <w:rPr>
          <w:b/>
          <w:bCs/>
        </w:rPr>
        <w:t xml:space="preserve">Key framing: </w:t>
      </w:r>
      <w:r>
        <w:t xml:space="preserve">Strategy renders whatever the data model lets it render. The doability question is really a data question, not a tool question. Get the data structured once in Databricks, and the same model can serve Strategy, PowerBI, or both.</w:t>
      </w:r>
    </w:p>
    <w:p>
      <w:pPr>
        <w:pStyle w:val="Heading1"/>
        <w:spacing w:after="200" w:before="360"/>
      </w:pPr>
      <w:r>
        <w:t xml:space="preserve">What Strategy can absolutely do</w:t>
      </w:r>
    </w:p>
    <w:p>
      <w:pPr>
        <w:spacing w:after="120"/>
      </w:pPr>
      <w:r>
        <w:t xml:space="preserve">All six business categories from the requirements list are within Strategy's standard capabilities:</w:t>
      </w:r>
    </w:p>
    <w:p>
      <w:pPr>
        <w:pStyle w:val="ListParagraph"/>
        <w:numPr>
          <w:ilvl w:val="0"/>
          <w:numId w:val="2"/>
        </w:numPr>
        <w:spacing w:after="80"/>
      </w:pPr>
      <w:r>
        <w:rPr>
          <w:b/>
          <w:bCs/>
        </w:rPr>
        <w:t xml:space="preserve">Counterparty profile, agreements, people — </w:t>
      </w:r>
      <w:r>
        <w:t xml:space="preserve">attributes on a dim. Drag-drop, filterable, drillable. Easy.</w:t>
      </w:r>
    </w:p>
    <w:p>
      <w:pPr>
        <w:pStyle w:val="ListParagraph"/>
        <w:numPr>
          <w:ilvl w:val="0"/>
          <w:numId w:val="2"/>
        </w:numPr>
        <w:spacing w:after="80"/>
      </w:pPr>
      <w:r>
        <w:rPr>
          <w:b/>
          <w:bCs/>
        </w:rPr>
        <w:t xml:space="preserve">Trading activity, notional, MtM, collateral — </w:t>
      </w:r>
      <w:r>
        <w:t xml:space="preserve">fact metrics. Aggregations, decompositions, cross-tabs. Easy.</w:t>
      </w:r>
    </w:p>
    <w:p>
      <w:pPr>
        <w:pStyle w:val="ListParagraph"/>
        <w:numPr>
          <w:ilvl w:val="0"/>
          <w:numId w:val="2"/>
        </w:numPr>
        <w:spacing w:after="80"/>
      </w:pPr>
      <w:r>
        <w:rPr>
          <w:b/>
          <w:bCs/>
        </w:rPr>
        <w:t xml:space="preserve">Sensitivities, PFE, stressed PFE — </w:t>
      </w:r>
      <w:r>
        <w:t xml:space="preserve">metrics with a snapshot-date dimension. Easy if the data lands in the warehouse.</w:t>
      </w:r>
    </w:p>
    <w:p>
      <w:pPr>
        <w:pStyle w:val="ListParagraph"/>
        <w:numPr>
          <w:ilvl w:val="0"/>
          <w:numId w:val="2"/>
        </w:numPr>
        <w:spacing w:after="80"/>
      </w:pPr>
      <w:r>
        <w:rPr>
          <w:b/>
          <w:bCs/>
        </w:rPr>
        <w:t xml:space="preserve">Watch list outputs — </w:t>
      </w:r>
      <w:r>
        <w:t xml:space="preserve">top-N rankings, threshold breaches with conditional formatting, trend lines, period-over-period comparisons. Standard Strategy patterns.</w:t>
      </w:r>
    </w:p>
    <w:p>
      <w:pPr>
        <w:spacing w:after="120"/>
      </w:pPr>
      <w:r>
        <w:t xml:space="preserve">The training POC dashboard already demonstrates several of these mechanics: drag-drop, filtering, conditional formatting (red/green threshold breach), KPI cards, drill paths. Scaling to George's full list is more work, not different work.</w:t>
      </w:r>
    </w:p>
    <w:p>
      <w:pPr>
        <w:pStyle w:val="Heading1"/>
        <w:spacing w:after="200" w:before="360"/>
      </w:pPr>
      <w:r>
        <w:t xml:space="preserve">Item-by-item — Strategy feature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0"/>
      </w:tblGrid>
      <w:tr>
        <w:trPr>
          <w:tblHeader/>
        </w:trPr>
        <w:tc>
          <w:tcPr>
            <w:tcW w:type="dxa" w:w="45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rPr>
              <w:t xml:space="preserve">George's requirement</w:t>
            </w:r>
          </w:p>
        </w:tc>
        <w:tc>
          <w:tcPr>
            <w:tcW w:type="dxa" w:w="5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rPr>
              <w:t xml:space="preserve">Strategy feature that handles it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Currency on facility / exposure (USD vs CAD)</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Currency attribute on the fact, or display form on a metric</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Current exposure (MtM)</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Standard sum/avg metric with as-of-date filter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Collateral — IM vs VM</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Filtered metrics — same pattern as Before/After Resolution metrics in the training POC</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Trader, desk, supervisor</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Dim attributes joined to the fact via trade ID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Lending manager</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Dim attribute on the facility record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Booking entity (IHC, CUSO, TDGF, Asia)</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Dim attribute + page-level filter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Industry classification (NBFI, Banks, Hedge Funds, etc.)</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Dim attribute + filtered visualizations or page-by tabs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Decompose by SIM, non-SIM, energy, credit</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Product taxonomy attribute + grouped metrics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YTD / QoQ / MoM trending</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Time intelligence functions — native to Strategy</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Top 10 DoD changes</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Rank-based filter on a derived DoD metric</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Sensitivities (from SENTOR)</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Metric columns or separate sensitivities visualization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Stressed PFE with last load date</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Snapshot-date dim + 'as of' filter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Issuer concentration (for repo)</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Separate fact table or view, grouped by issuer attribute</w:t>
            </w:r>
          </w:p>
        </w:tc>
      </w:tr>
    </w:tbl>
    <w:p>
      <w:pPr>
        <w:spacing w:after="120"/>
      </w:pPr>
      <w:r>
        <w:t xml:space="preserve"/>
      </w:r>
    </w:p>
    <w:p>
      <w:pPr>
        <w:spacing w:after="120"/>
      </w:pPr>
      <w:r>
        <w:t xml:space="preserve">None of this requires custom code, plugins, or workarounds. It is all base platform.</w:t>
      </w:r>
    </w:p>
    <w:p>
      <w:pPr>
        <w:pStyle w:val="Heading1"/>
        <w:spacing w:after="200" w:before="360"/>
      </w:pPr>
      <w:r>
        <w:t xml:space="preserve">Where Strategy has an edge over PowerBI for this use case</w:t>
      </w:r>
    </w:p>
    <w:p>
      <w:pPr>
        <w:spacing w:after="120"/>
      </w:pPr>
      <w:r>
        <w:t xml:space="preserve">Worth knowing because George may ask:</w:t>
      </w:r>
    </w:p>
    <w:p>
      <w:pPr>
        <w:pStyle w:val="ListParagraph"/>
        <w:numPr>
          <w:ilvl w:val="0"/>
          <w:numId w:val="2"/>
        </w:numPr>
        <w:spacing w:after="80"/>
      </w:pPr>
      <w:r>
        <w:rPr>
          <w:b/>
          <w:bCs/>
        </w:rPr>
        <w:t xml:space="preserve">Semantic layer reusability — </w:t>
      </w:r>
      <w:r>
        <w:t xml:space="preserve">define a metric like 'MtM Net of Collateral' once; every dashboard inherits it. PowerBI tends to push more logic into each report.</w:t>
      </w:r>
    </w:p>
    <w:p>
      <w:pPr>
        <w:pStyle w:val="ListParagraph"/>
        <w:numPr>
          <w:ilvl w:val="0"/>
          <w:numId w:val="2"/>
        </w:numPr>
        <w:spacing w:after="80"/>
      </w:pPr>
      <w:r>
        <w:rPr>
          <w:b/>
          <w:bCs/>
        </w:rPr>
        <w:t xml:space="preserve">Drill paths and hierarchies — </w:t>
      </w:r>
      <w:r>
        <w:t xml:space="preserve">Strategy's drill model is more structured. Better for the 'click the counterparty, see the trades, see the trader' workflow.</w:t>
      </w:r>
    </w:p>
    <w:p>
      <w:pPr>
        <w:pStyle w:val="ListParagraph"/>
        <w:numPr>
          <w:ilvl w:val="0"/>
          <w:numId w:val="2"/>
        </w:numPr>
        <w:spacing w:after="80"/>
      </w:pPr>
      <w:r>
        <w:rPr>
          <w:b/>
          <w:bCs/>
        </w:rPr>
        <w:t xml:space="preserve">Row-level security — </w:t>
      </w:r>
      <w:r>
        <w:t xml:space="preserve">easier to set up 'European credit officers only see European-booked trades' than in PowerBI.</w:t>
      </w:r>
    </w:p>
    <w:p>
      <w:pPr>
        <w:pStyle w:val="ListParagraph"/>
        <w:numPr>
          <w:ilvl w:val="0"/>
          <w:numId w:val="2"/>
        </w:numPr>
        <w:spacing w:after="80"/>
      </w:pPr>
      <w:r>
        <w:rPr>
          <w:b/>
          <w:bCs/>
        </w:rPr>
        <w:t xml:space="preserve">Subscriptions and scheduled distribution — </w:t>
      </w:r>
      <w:r>
        <w:t xml:space="preserve">built in. Good for daily watch list emails.</w:t>
      </w:r>
    </w:p>
    <w:p>
      <w:pPr>
        <w:pStyle w:val="ListParagraph"/>
        <w:numPr>
          <w:ilvl w:val="0"/>
          <w:numId w:val="2"/>
        </w:numPr>
        <w:spacing w:after="80"/>
      </w:pPr>
      <w:r>
        <w:rPr>
          <w:b/>
          <w:bCs/>
        </w:rPr>
        <w:t xml:space="preserve">Mosaic AI features — </w:t>
      </w:r>
      <w:r>
        <w:t xml:space="preserve">natural language Q&amp;A on top of the semantic layer. Useful for 'show me top exposures over $100M' without building a visual. (This is the AI prompt Nitesh asked about.)</w:t>
      </w:r>
    </w:p>
    <w:p>
      <w:pPr>
        <w:pStyle w:val="Heading1"/>
        <w:spacing w:after="200" w:before="360"/>
      </w:pPr>
      <w:r>
        <w:t xml:space="preserve">Where PowerBI may have an edge</w:t>
      </w:r>
    </w:p>
    <w:p>
      <w:pPr>
        <w:spacing w:after="120"/>
      </w:pPr>
      <w:r>
        <w:t xml:space="preserve">Be honest about this in case George pushes back:</w:t>
      </w:r>
    </w:p>
    <w:p>
      <w:pPr>
        <w:pStyle w:val="ListParagraph"/>
        <w:numPr>
          <w:ilvl w:val="0"/>
          <w:numId w:val="2"/>
        </w:numPr>
        <w:spacing w:after="80"/>
      </w:pPr>
      <w:r>
        <w:rPr>
          <w:b/>
          <w:bCs/>
        </w:rPr>
        <w:t xml:space="preserve">Cost — </w:t>
      </w:r>
      <w:r>
        <w:t xml:space="preserve">PowerBI is cheaper if TD is already on Microsoft 365.</w:t>
      </w:r>
    </w:p>
    <w:p>
      <w:pPr>
        <w:pStyle w:val="ListParagraph"/>
        <w:numPr>
          <w:ilvl w:val="0"/>
          <w:numId w:val="2"/>
        </w:numPr>
        <w:spacing w:after="80"/>
      </w:pPr>
      <w:r>
        <w:rPr>
          <w:b/>
          <w:bCs/>
        </w:rPr>
        <w:t xml:space="preserve">Familiarity — </w:t>
      </w:r>
      <w:r>
        <w:t xml:space="preserve">most analysts have touched PowerBI. Strategy has a steeper learning curve.</w:t>
      </w:r>
    </w:p>
    <w:p>
      <w:pPr>
        <w:pStyle w:val="ListParagraph"/>
        <w:numPr>
          <w:ilvl w:val="0"/>
          <w:numId w:val="2"/>
        </w:numPr>
        <w:spacing w:after="80"/>
      </w:pPr>
      <w:r>
        <w:rPr>
          <w:b/>
          <w:bCs/>
        </w:rPr>
        <w:t xml:space="preserve">Self-service exploration — </w:t>
      </w:r>
      <w:r>
        <w:t xml:space="preserve">PowerBI's ad-hoc 'drag and explore' is slightly more forgiving for non-technical users.</w:t>
      </w:r>
    </w:p>
    <w:p>
      <w:pPr>
        <w:pStyle w:val="ListParagraph"/>
        <w:numPr>
          <w:ilvl w:val="0"/>
          <w:numId w:val="2"/>
        </w:numPr>
        <w:spacing w:after="80"/>
      </w:pPr>
      <w:r>
        <w:rPr>
          <w:b/>
          <w:bCs/>
        </w:rPr>
        <w:t xml:space="preserve">Excel integration — </w:t>
      </w:r>
      <w:r>
        <w:t xml:space="preserve">tighter than Strategy's.</w:t>
      </w:r>
    </w:p>
    <w:p>
      <w:pPr>
        <w:pStyle w:val="Heading1"/>
        <w:spacing w:after="200" w:before="360"/>
      </w:pPr>
      <w:r>
        <w:t xml:space="preserve">Verdict on the 12-item 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500"/>
      </w:tblGrid>
      <w:tr>
        <w:trPr>
          <w:tblHeader/>
        </w:trPr>
        <w:tc>
          <w:tcPr>
            <w:tcW w:type="dxa" w:w="35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rPr>
              <w:t xml:space="preserve">Item</w:t>
            </w:r>
          </w:p>
        </w:tc>
        <w:tc>
          <w:tcPr>
            <w:tcW w:type="dxa" w:w="3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rPr>
              <w:t xml:space="preserve">Strategy feasibility</w:t>
            </w:r>
          </w:p>
        </w:tc>
        <w:tc>
          <w:tcPr>
            <w:tcW w:type="dxa" w:w="35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rPr>
              <w:t xml:space="preserve">Data dependency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Currency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Should be in trade booking systems already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 Current exposure (MtM)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From valuation engines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Collateral IM/VM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From margin systems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Trader / desk / supervisor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Pipeline from IHMS, REDS-GRS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 Lending manager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Pipeline from banking system</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 Booking entity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Reference data — usually present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 Industry classification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From KYC / counterparty onboarding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 Decompose by product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Product taxonomy mapping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 YTD/QoQ/MoM, top 10 DoD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Doable — standard time intelligence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Time hierarchy + period metrics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Sensitivities (SENTOR)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Pipeline from SENTOR — likely missing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11. Stressed PFE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Pipeline from RCS — likely missing or batch</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12. Issuer risk for repo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Securities reference data + repo detail</w:t>
            </w:r>
          </w:p>
        </w:tc>
      </w:tr>
    </w:tbl>
    <w:p>
      <w:pPr>
        <w:spacing w:after="120"/>
      </w:pPr>
      <w:r>
        <w:t xml:space="preserve"/>
      </w:r>
    </w:p>
    <w:p>
      <w:pPr>
        <w:spacing w:after="120"/>
      </w:pPr>
      <w:r>
        <w:t xml:space="preserve">Items 1 to 8 — no blockers in Strategy. Variable is just whether each upstream feed is already in Databricks.</w:t>
      </w:r>
    </w:p>
    <w:p>
      <w:pPr>
        <w:spacing w:after="120"/>
      </w:pPr>
      <w:r>
        <w:t xml:space="preserve">Items 9 to 12 — also doable, but with real data dependencies. The dependencies are upstream of Strategy, not in it.</w:t>
      </w:r>
    </w:p>
    <w:p>
      <w:pPr>
        <w:pStyle w:val="Heading1"/>
        <w:spacing w:after="200" w:before="360"/>
      </w:pPr>
      <w:r>
        <w:t xml:space="preserve">Response to George</w:t>
      </w:r>
    </w:p>
    <w:p>
      <w:pPr>
        <w:spacing w:after="120"/>
      </w:pPr>
      <w:r>
        <w:t xml:space="preserve">Suggested wording:</w:t>
      </w:r>
    </w:p>
    <w:p>
      <w:pPr>
        <w:pBdr>
          <w:left w:val="single" w:color="808080" w:sz="18" w:space="6"/>
        </w:pBdr>
        <w:shd w:fill="F7F7F7" w:val="clear"/>
        <w:spacing w:after="160" w:before="80"/>
        <w:ind w:left="360"/>
      </w:pPr>
      <w:r>
        <w:rPr>
          <w:i/>
          <w:iCs/>
        </w:rPr>
        <w:t xml:space="preserve">Yes — every item on your list is achievable in Strategy as a tool. Counterparty profile, agreements, people, trading activity, risk measures, watch list views — all standard semantic-layer patterns. The lift isn't in Strategy, it's in getting the source data (counterparty profile, sensitivities from SENTOR, stress runs from RCS, repo issuer data, etc.) modeled correctly in Databricks once. Once that's done, the same model can power Strategy, PowerBI, or both.</w:t>
      </w:r>
    </w:p>
    <w:p>
      <w:pPr>
        <w:spacing w:after="120"/>
      </w:pPr>
      <w:r>
        <w:t xml:space="preserve">This positions correctly: not selling Strategy, just confirming feasibility, and steering the conversation back to the data work that actually determines timeline.</w:t>
      </w:r>
    </w:p>
    <w:p>
      <w:pPr>
        <w:pStyle w:val="Heading1"/>
        <w:spacing w:after="200" w:before="360"/>
      </w:pPr>
      <w:r>
        <w:t xml:space="preserve">Lessons from the training POC that apply at scale</w:t>
      </w:r>
    </w:p>
    <w:p>
      <w:pPr>
        <w:spacing w:after="120"/>
      </w:pPr>
      <w:r>
        <w:t xml:space="preserve">Yesterday's session showed the data-vs-tool dynamic in microcosm. When the underlying model was clean (parent-child relationships properly declared, lookup tables designated correctly), Strategy delivered immediately. When the data model was ambiguous (NULL counterparty_code on unmatched trades), Strategy exposed the ambiguity in ways no UI tweak could paper over.</w:t>
      </w:r>
    </w:p>
    <w:p>
      <w:pPr>
        <w:spacing w:after="120"/>
      </w:pPr>
      <w:r>
        <w:t xml:space="preserve">Same dynamic will play out on George's full list. Every item works if the data underneath is structured, governed, and joined. Every item fails or stays manual if it isn't. That's the credibility point to bring into the conversation — Reena saw this firsthand on a small dataset, and it scales linearly.</w:t>
      </w:r>
    </w:p>
    <w:p>
      <w:pPr>
        <w:pStyle w:val="Heading1"/>
        <w:spacing w:after="200" w:before="360"/>
      </w:pPr>
      <w:r>
        <w:t xml:space="preserve">Recommended next steps</w:t>
      </w:r>
    </w:p>
    <w:p>
      <w:pPr>
        <w:pStyle w:val="ListParagraph"/>
        <w:numPr>
          <w:ilvl w:val="0"/>
          <w:numId w:val="2"/>
        </w:numPr>
        <w:spacing w:after="80"/>
      </w:pPr>
      <w:r>
        <w:rPr>
          <w:b/>
          <w:bCs/>
        </w:rPr>
        <w:t xml:space="preserve">1. Send categorized response to George </w:t>
      </w:r>
      <w:r>
        <w:t xml:space="preserve">(the six-bucket framing), with the question about which feeds his team uses today vs reconstructs manually.</w:t>
      </w:r>
    </w:p>
    <w:p>
      <w:pPr>
        <w:pStyle w:val="ListParagraph"/>
        <w:numPr>
          <w:ilvl w:val="0"/>
          <w:numId w:val="2"/>
        </w:numPr>
        <w:spacing w:after="80"/>
      </w:pPr>
      <w:r>
        <w:rPr>
          <w:b/>
          <w:bCs/>
        </w:rPr>
        <w:t xml:space="preserve">2. Get clarity on the PowerBI history — </w:t>
      </w:r>
      <w:r>
        <w:t xml:space="preserve">did GMC complete that build? If not, why? Their pain points are the roadmap.</w:t>
      </w:r>
    </w:p>
    <w:p>
      <w:pPr>
        <w:pStyle w:val="ListParagraph"/>
        <w:numPr>
          <w:ilvl w:val="0"/>
          <w:numId w:val="2"/>
        </w:numPr>
        <w:spacing w:after="80"/>
      </w:pPr>
      <w:r>
        <w:rPr>
          <w:b/>
          <w:bCs/>
        </w:rPr>
        <w:t xml:space="preserve">3. Pick three pilot items </w:t>
      </w:r>
      <w:r>
        <w:t xml:space="preserve">for a follow-up sprint — one from each feasibility tier (already in warehouse / needs pipeline / currently manual). Demonstrates velocity, integration, and where leadership decisions are needed.</w:t>
      </w:r>
    </w:p>
    <w:p>
      <w:pPr>
        <w:pStyle w:val="ListParagraph"/>
        <w:numPr>
          <w:ilvl w:val="0"/>
          <w:numId w:val="2"/>
        </w:numPr>
        <w:spacing w:after="80"/>
      </w:pPr>
      <w:r>
        <w:rPr>
          <w:b/>
          <w:bCs/>
        </w:rPr>
        <w:t xml:space="preserve">4. Position the data layer in Databricks as the strategic asset — </w:t>
      </w:r>
      <w:r>
        <w:t xml:space="preserve">once built, it serves Strategy, PowerBI, and any future BI tool. That's the case for investing in it properly.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Strategy BI Feasibility — CCR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C8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C8A"/>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2026-05-01T08:57:50.080Z</dcterms:created>
  <dcterms:modified xsi:type="dcterms:W3CDTF">2026-05-01T08:57:50.081Z</dcterms:modified>
</cp:coreProperties>
</file>

<file path=docProps/custom.xml><?xml version="1.0" encoding="utf-8"?>
<Properties xmlns="http://schemas.openxmlformats.org/officeDocument/2006/custom-properties" xmlns:vt="http://schemas.openxmlformats.org/officeDocument/2006/docPropsVTypes"/>
</file>