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E344" w14:textId="77777777" w:rsidR="0000547F" w:rsidRDefault="00000000">
      <w:pPr>
        <w:spacing w:after="120"/>
      </w:pPr>
      <w:r>
        <w:rPr>
          <w:b/>
          <w:bCs/>
          <w:color w:val="1A5C38"/>
          <w:sz w:val="40"/>
          <w:szCs w:val="40"/>
        </w:rPr>
        <w:t>Risk Data Commitments</w:t>
      </w:r>
    </w:p>
    <w:p w14:paraId="22D782AB" w14:textId="35279335" w:rsidR="0000547F" w:rsidRDefault="00000000">
      <w:pPr>
        <w:spacing w:after="320"/>
      </w:pPr>
      <w:r>
        <w:rPr>
          <w:i/>
          <w:iCs/>
          <w:color w:val="3D5247"/>
          <w:sz w:val="24"/>
          <w:szCs w:val="24"/>
        </w:rPr>
        <w:t xml:space="preserve">What business leaders and consumers can expect of Risk </w:t>
      </w:r>
      <w:r w:rsidR="006857A9">
        <w:rPr>
          <w:i/>
          <w:iCs/>
          <w:color w:val="3D5247"/>
          <w:sz w:val="24"/>
          <w:szCs w:val="24"/>
        </w:rPr>
        <w:t>Analytics Data</w:t>
      </w:r>
    </w:p>
    <w:p w14:paraId="40BCA13A" w14:textId="77777777" w:rsidR="0000547F" w:rsidRDefault="00000000">
      <w:pPr>
        <w:spacing w:before="80" w:after="160"/>
      </w:pPr>
      <w:r>
        <w:rPr>
          <w:color w:val="1A2B22"/>
        </w:rPr>
        <w:t>This is the set of commitments Risk makes to the business about the data it publishes in Unity Catalog. Each commitment is something you can check when you open a dataset. Together they make Risk data understandable, reliable, and traceable without needing to ask the team that produced it.</w:t>
      </w:r>
    </w:p>
    <w:p w14:paraId="1F82165F" w14:textId="77777777" w:rsidR="0000547F" w:rsidRDefault="00000000">
      <w:pPr>
        <w:spacing w:before="80" w:after="160"/>
      </w:pPr>
      <w:r>
        <w:rPr>
          <w:color w:val="1A2B22"/>
        </w:rPr>
        <w:t>Each commitment is labelled with its data-management category — Ownership, Controls, Supply chain, Meaning, or Lifecycle. The categories follow industry standard frameworks; you can use them as a quick filter for what a commitment is about.</w:t>
      </w:r>
    </w:p>
    <w:p w14:paraId="78A4FBE2" w14:textId="77777777" w:rsidR="0000547F" w:rsidRDefault="0000547F">
      <w:pPr>
        <w:pBdr>
          <w:bottom w:val="single" w:sz="6" w:space="1" w:color="1A5C38"/>
        </w:pBdr>
        <w:spacing w:before="240" w:after="120"/>
      </w:pPr>
    </w:p>
    <w:p w14:paraId="6C5FF88C" w14:textId="77777777" w:rsidR="0000547F" w:rsidRDefault="00000000">
      <w:pPr>
        <w:pStyle w:val="Heading1"/>
      </w:pPr>
      <w:r>
        <w:t>The commitments</w:t>
      </w:r>
    </w:p>
    <w:p w14:paraId="38CEFED5" w14:textId="77777777" w:rsidR="0000547F" w:rsidRDefault="00000000">
      <w:pPr>
        <w:spacing w:before="240" w:after="80"/>
      </w:pPr>
      <w:r>
        <w:rPr>
          <w:b/>
          <w:bCs/>
          <w:color w:val="1A5C38"/>
          <w:sz w:val="24"/>
          <w:szCs w:val="24"/>
        </w:rPr>
        <w:t xml:space="preserve">1. Business meaning </w:t>
      </w:r>
      <w:r>
        <w:rPr>
          <w:i/>
          <w:iCs/>
          <w:color w:val="2E8B57"/>
        </w:rPr>
        <w:t>(Meaning)</w:t>
      </w:r>
    </w:p>
    <w:p w14:paraId="78130179" w14:textId="77777777" w:rsidR="0000547F" w:rsidRDefault="00000000">
      <w:pPr>
        <w:spacing w:before="60" w:after="120"/>
      </w:pPr>
      <w:r>
        <w:rPr>
          <w:color w:val="1A2B22"/>
        </w:rPr>
        <w:t xml:space="preserve">Every dataset and every column </w:t>
      </w:r>
      <w:proofErr w:type="gramStart"/>
      <w:r>
        <w:rPr>
          <w:color w:val="1A2B22"/>
        </w:rPr>
        <w:t>has</w:t>
      </w:r>
      <w:proofErr w:type="gramEnd"/>
      <w:r>
        <w:rPr>
          <w:color w:val="1A2B22"/>
        </w:rPr>
        <w:t xml:space="preserve"> its business meaning documented in plain English. The dataset description says what it is and what one row stands for. Each column carries a business name alongside its technical name. </w:t>
      </w:r>
      <w:proofErr w:type="gramStart"/>
      <w:r>
        <w:rPr>
          <w:color w:val="1A2B22"/>
        </w:rPr>
        <w:t>So</w:t>
      </w:r>
      <w:proofErr w:type="gramEnd"/>
      <w:r>
        <w:rPr>
          <w:color w:val="1A2B22"/>
        </w:rPr>
        <w:t xml:space="preserve"> you might open a dataset called </w:t>
      </w:r>
      <w:proofErr w:type="spellStart"/>
      <w:r>
        <w:rPr>
          <w:color w:val="1A2B22"/>
        </w:rPr>
        <w:t>star_fact_issuer_exposure</w:t>
      </w:r>
      <w:proofErr w:type="spellEnd"/>
      <w:r>
        <w:rPr>
          <w:color w:val="1A2B22"/>
        </w:rPr>
        <w:t xml:space="preserve"> and see “Daily snapshot of indirect issuer exposure — one row per counterparty per agreement per as-of date per issuer.” Inside it, </w:t>
      </w:r>
      <w:proofErr w:type="spellStart"/>
      <w:r>
        <w:rPr>
          <w:color w:val="1A2B22"/>
        </w:rPr>
        <w:t>cpty_code</w:t>
      </w:r>
      <w:proofErr w:type="spellEnd"/>
      <w:r>
        <w:rPr>
          <w:color w:val="1A2B22"/>
        </w:rPr>
        <w:t xml:space="preserve"> shows up as Counterparty Code, </w:t>
      </w:r>
      <w:proofErr w:type="spellStart"/>
      <w:r>
        <w:rPr>
          <w:color w:val="1A2B22"/>
        </w:rPr>
        <w:t>agreement_id</w:t>
      </w:r>
      <w:proofErr w:type="spellEnd"/>
      <w:r>
        <w:rPr>
          <w:color w:val="1A2B22"/>
        </w:rPr>
        <w:t xml:space="preserve"> as Agreement ID, and </w:t>
      </w:r>
      <w:proofErr w:type="spellStart"/>
      <w:r>
        <w:rPr>
          <w:color w:val="1A2B22"/>
        </w:rPr>
        <w:t>pfe_amount</w:t>
      </w:r>
      <w:proofErr w:type="spellEnd"/>
      <w:r>
        <w:rPr>
          <w:color w:val="1A2B22"/>
        </w:rPr>
        <w:t xml:space="preserve"> as Potential Future Exposure — the entities and measures named the way you already think about them.</w:t>
      </w:r>
    </w:p>
    <w:p w14:paraId="0C2C85D5"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can read a dataset and its columns in the language you already use, without needing to ask the producer what anything means.</w:t>
      </w:r>
    </w:p>
    <w:p w14:paraId="2316EE0F" w14:textId="77777777" w:rsidR="0000547F" w:rsidRDefault="00000000">
      <w:pPr>
        <w:spacing w:before="240" w:after="80"/>
      </w:pPr>
      <w:r>
        <w:rPr>
          <w:b/>
          <w:bCs/>
          <w:color w:val="1A5C38"/>
          <w:sz w:val="24"/>
          <w:szCs w:val="24"/>
        </w:rPr>
        <w:t xml:space="preserve">2. Numbers and how they were calculated </w:t>
      </w:r>
      <w:r>
        <w:rPr>
          <w:i/>
          <w:iCs/>
          <w:color w:val="2E8B57"/>
        </w:rPr>
        <w:t>(Meaning)</w:t>
      </w:r>
    </w:p>
    <w:p w14:paraId="41B77956" w14:textId="77777777" w:rsidR="0000547F" w:rsidRDefault="00000000">
      <w:pPr>
        <w:spacing w:before="60" w:after="120"/>
      </w:pPr>
      <w:r>
        <w:rPr>
          <w:color w:val="1A2B22"/>
        </w:rPr>
        <w:t>Every calculated number declares its unit (USD, percent, count, basis points) and the engine and version that produced it.</w:t>
      </w:r>
    </w:p>
    <w:p w14:paraId="36B6A173"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a number can be traced back to how it was calculated, with no guessing about what it means.</w:t>
      </w:r>
    </w:p>
    <w:p w14:paraId="175C7E04" w14:textId="77777777" w:rsidR="0000547F" w:rsidRDefault="00000000">
      <w:pPr>
        <w:spacing w:before="240" w:after="80"/>
      </w:pPr>
      <w:r>
        <w:rPr>
          <w:b/>
          <w:bCs/>
          <w:color w:val="1A5C38"/>
          <w:sz w:val="24"/>
          <w:szCs w:val="24"/>
        </w:rPr>
        <w:t xml:space="preserve">3. How numbers add up </w:t>
      </w:r>
      <w:r>
        <w:rPr>
          <w:i/>
          <w:iCs/>
          <w:color w:val="2E8B57"/>
        </w:rPr>
        <w:t>(Meaning)</w:t>
      </w:r>
    </w:p>
    <w:p w14:paraId="525B0CA2" w14:textId="77777777" w:rsidR="0000547F" w:rsidRDefault="00000000">
      <w:pPr>
        <w:spacing w:before="60" w:after="120"/>
      </w:pPr>
      <w:r>
        <w:rPr>
          <w:color w:val="1A2B22"/>
        </w:rPr>
        <w:t>Every measure declares whether it can be summed across all dimensions, only some of them, or none. A warning is attached where misuse is common — for example, do not sum across dates for a snapshot value.</w:t>
      </w:r>
    </w:p>
    <w:p w14:paraId="0A009100"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don’t accidentally </w:t>
      </w:r>
      <w:proofErr w:type="gramStart"/>
      <w:r>
        <w:rPr>
          <w:i/>
          <w:iCs/>
          <w:color w:val="3D5247"/>
          <w:sz w:val="20"/>
          <w:szCs w:val="20"/>
        </w:rPr>
        <w:t>double-count</w:t>
      </w:r>
      <w:proofErr w:type="gramEnd"/>
      <w:r>
        <w:rPr>
          <w:i/>
          <w:iCs/>
          <w:color w:val="3D5247"/>
          <w:sz w:val="20"/>
          <w:szCs w:val="20"/>
        </w:rPr>
        <w:t xml:space="preserve"> an exposure by summing across dates.</w:t>
      </w:r>
    </w:p>
    <w:p w14:paraId="52C760ED" w14:textId="77777777" w:rsidR="0000547F" w:rsidRDefault="00000000">
      <w:pPr>
        <w:spacing w:before="240" w:after="80"/>
      </w:pPr>
      <w:r>
        <w:rPr>
          <w:b/>
          <w:bCs/>
          <w:color w:val="1A5C38"/>
          <w:sz w:val="24"/>
          <w:szCs w:val="24"/>
        </w:rPr>
        <w:t xml:space="preserve">4. Dates and timestamps </w:t>
      </w:r>
      <w:r>
        <w:rPr>
          <w:i/>
          <w:iCs/>
          <w:color w:val="2E8B57"/>
        </w:rPr>
        <w:t>(Meaning)</w:t>
      </w:r>
    </w:p>
    <w:p w14:paraId="45DE3937" w14:textId="77777777" w:rsidR="0000547F" w:rsidRDefault="00000000">
      <w:pPr>
        <w:spacing w:before="60" w:after="120"/>
      </w:pPr>
      <w:r>
        <w:rPr>
          <w:color w:val="1A2B22"/>
        </w:rPr>
        <w:t xml:space="preserve">Every date and timestamp column carries its format and, where relevant, its </w:t>
      </w:r>
      <w:proofErr w:type="spellStart"/>
      <w:r>
        <w:rPr>
          <w:color w:val="1A2B22"/>
        </w:rPr>
        <w:t>timezone</w:t>
      </w:r>
      <w:proofErr w:type="spellEnd"/>
      <w:r>
        <w:rPr>
          <w:color w:val="1A2B22"/>
        </w:rPr>
        <w:t>.</w:t>
      </w:r>
    </w:p>
    <w:p w14:paraId="7945DA01"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month-end dates are </w:t>
      </w:r>
      <w:proofErr w:type="gramStart"/>
      <w:r>
        <w:rPr>
          <w:i/>
          <w:iCs/>
          <w:color w:val="3D5247"/>
          <w:sz w:val="20"/>
          <w:szCs w:val="20"/>
        </w:rPr>
        <w:t>unambiguous</w:t>
      </w:r>
      <w:proofErr w:type="gramEnd"/>
      <w:r>
        <w:rPr>
          <w:i/>
          <w:iCs/>
          <w:color w:val="3D5247"/>
          <w:sz w:val="20"/>
          <w:szCs w:val="20"/>
        </w:rPr>
        <w:t xml:space="preserve"> and intraday timestamps don’t get mixed across regions.</w:t>
      </w:r>
    </w:p>
    <w:p w14:paraId="07C94F34" w14:textId="77777777" w:rsidR="0000547F" w:rsidRDefault="00000000">
      <w:pPr>
        <w:spacing w:before="240" w:after="80"/>
      </w:pPr>
      <w:r>
        <w:rPr>
          <w:b/>
          <w:bCs/>
          <w:color w:val="1A5C38"/>
          <w:sz w:val="24"/>
          <w:szCs w:val="24"/>
        </w:rPr>
        <w:t xml:space="preserve">5. Agreed value lists </w:t>
      </w:r>
      <w:r>
        <w:rPr>
          <w:i/>
          <w:iCs/>
          <w:color w:val="2E8B57"/>
        </w:rPr>
        <w:t>(Controls)</w:t>
      </w:r>
    </w:p>
    <w:p w14:paraId="50F03483" w14:textId="77777777" w:rsidR="0000547F" w:rsidRDefault="00000000">
      <w:pPr>
        <w:spacing w:before="60" w:after="120"/>
      </w:pPr>
      <w:r>
        <w:rPr>
          <w:color w:val="1A2B22"/>
        </w:rPr>
        <w:lastRenderedPageBreak/>
        <w:t>Where a column can only hold a fixed set of values (ratings, types, regimes), the allowed list is declared and enforced at write time.</w:t>
      </w:r>
    </w:p>
    <w:p w14:paraId="2A1B6F64"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a free-text column doesn’t drift over time into many variants of the same thing.</w:t>
      </w:r>
    </w:p>
    <w:p w14:paraId="798D1515" w14:textId="77777777" w:rsidR="0000547F" w:rsidRDefault="00000000">
      <w:pPr>
        <w:spacing w:before="240" w:after="80"/>
      </w:pPr>
      <w:r>
        <w:rPr>
          <w:b/>
          <w:bCs/>
          <w:color w:val="1A5C38"/>
          <w:sz w:val="24"/>
          <w:szCs w:val="24"/>
        </w:rPr>
        <w:t xml:space="preserve">6. Required values present </w:t>
      </w:r>
      <w:r>
        <w:rPr>
          <w:i/>
          <w:iCs/>
          <w:color w:val="2E8B57"/>
        </w:rPr>
        <w:t>(Controls)</w:t>
      </w:r>
    </w:p>
    <w:p w14:paraId="346ECAF4" w14:textId="77777777" w:rsidR="0000547F" w:rsidRDefault="00000000">
      <w:pPr>
        <w:spacing w:before="60" w:after="120"/>
      </w:pPr>
      <w:r>
        <w:rPr>
          <w:color w:val="1A2B22"/>
        </w:rPr>
        <w:t>Required fields are declared as such, and rows missing them are rejected at write time.</w:t>
      </w:r>
    </w:p>
    <w:p w14:paraId="196CC3F1"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a critical field like counterparty code is never silently blank.</w:t>
      </w:r>
    </w:p>
    <w:p w14:paraId="7CA5AB18" w14:textId="77777777" w:rsidR="0000547F" w:rsidRDefault="00000000">
      <w:pPr>
        <w:spacing w:before="240" w:after="80"/>
      </w:pPr>
      <w:r>
        <w:rPr>
          <w:b/>
          <w:bCs/>
          <w:color w:val="1A5C38"/>
          <w:sz w:val="24"/>
          <w:szCs w:val="24"/>
        </w:rPr>
        <w:t xml:space="preserve">7. Uniqueness — no duplicates </w:t>
      </w:r>
      <w:r>
        <w:rPr>
          <w:i/>
          <w:iCs/>
          <w:color w:val="2E8B57"/>
        </w:rPr>
        <w:t>(Controls)</w:t>
      </w:r>
    </w:p>
    <w:p w14:paraId="7AA1C0E9" w14:textId="77777777" w:rsidR="0000547F" w:rsidRDefault="00000000">
      <w:pPr>
        <w:spacing w:before="60" w:after="120"/>
      </w:pPr>
      <w:r>
        <w:rPr>
          <w:color w:val="1A2B22"/>
        </w:rPr>
        <w:t>Every dataset declares its primary key — the columns that together make a row unique. Duplicates are caught.</w:t>
      </w:r>
    </w:p>
    <w:p w14:paraId="2A729AF7"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can rely on counts and joins without worrying about repeated rows.</w:t>
      </w:r>
    </w:p>
    <w:p w14:paraId="09AFB400" w14:textId="77777777" w:rsidR="0000547F" w:rsidRDefault="00000000">
      <w:pPr>
        <w:spacing w:before="240" w:after="80"/>
      </w:pPr>
      <w:r>
        <w:rPr>
          <w:b/>
          <w:bCs/>
          <w:color w:val="1A5C38"/>
          <w:sz w:val="24"/>
          <w:szCs w:val="24"/>
        </w:rPr>
        <w:t xml:space="preserve">8. How datasets connect </w:t>
      </w:r>
      <w:r>
        <w:rPr>
          <w:i/>
          <w:iCs/>
          <w:color w:val="2E8B57"/>
        </w:rPr>
        <w:t>(Supply chain)</w:t>
      </w:r>
    </w:p>
    <w:p w14:paraId="3499154E" w14:textId="77777777" w:rsidR="0000547F" w:rsidRDefault="00000000">
      <w:pPr>
        <w:spacing w:before="60" w:after="120"/>
      </w:pPr>
      <w:r>
        <w:rPr>
          <w:color w:val="1A2B22"/>
        </w:rPr>
        <w:t>Foreign-key relationships are declared on every column that points to another table. The catalog shows how the datasets connect.</w:t>
      </w:r>
    </w:p>
    <w:p w14:paraId="6FD318BD"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can navigate from one dataset to a related one without reverse-engineering the joins.</w:t>
      </w:r>
    </w:p>
    <w:p w14:paraId="10690ED6" w14:textId="77777777" w:rsidR="0000547F" w:rsidRDefault="00000000">
      <w:pPr>
        <w:spacing w:before="240" w:after="80"/>
      </w:pPr>
      <w:r>
        <w:rPr>
          <w:b/>
          <w:bCs/>
          <w:color w:val="1A5C38"/>
          <w:sz w:val="24"/>
          <w:szCs w:val="24"/>
        </w:rPr>
        <w:t xml:space="preserve">9. Refresh cadence and SLA </w:t>
      </w:r>
      <w:r>
        <w:rPr>
          <w:i/>
          <w:iCs/>
          <w:color w:val="2E8B57"/>
        </w:rPr>
        <w:t>(Supply chain)</w:t>
      </w:r>
    </w:p>
    <w:p w14:paraId="296AEB1B" w14:textId="77777777" w:rsidR="0000547F" w:rsidRDefault="00000000">
      <w:pPr>
        <w:spacing w:before="60" w:after="120"/>
      </w:pPr>
      <w:r>
        <w:rPr>
          <w:color w:val="1A2B22"/>
        </w:rPr>
        <w:t>Every dataset states how often it refreshes and the time by which fresh data is committed each cycle.</w:t>
      </w:r>
    </w:p>
    <w:p w14:paraId="05CA299A"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know when to expect today’s data and when to escalate if it’s late.</w:t>
      </w:r>
    </w:p>
    <w:p w14:paraId="37AAB4AA" w14:textId="77777777" w:rsidR="0000547F" w:rsidRDefault="00000000">
      <w:pPr>
        <w:spacing w:before="240" w:after="80"/>
      </w:pPr>
      <w:r>
        <w:rPr>
          <w:b/>
          <w:bCs/>
          <w:color w:val="1A5C38"/>
          <w:sz w:val="24"/>
          <w:szCs w:val="24"/>
        </w:rPr>
        <w:t xml:space="preserve">10. Currency and FX </w:t>
      </w:r>
      <w:r>
        <w:rPr>
          <w:i/>
          <w:iCs/>
          <w:color w:val="2E8B57"/>
        </w:rPr>
        <w:t>(Supply chain)</w:t>
      </w:r>
    </w:p>
    <w:p w14:paraId="2AE1AEAF" w14:textId="77777777" w:rsidR="0000547F" w:rsidRDefault="00000000">
      <w:pPr>
        <w:spacing w:before="60" w:after="120"/>
      </w:pPr>
      <w:r>
        <w:rPr>
          <w:color w:val="1A2B22"/>
        </w:rPr>
        <w:t>Where monetary amounts are converted, the reporting currency, FX source, and rate date are stated. Where native currency is also kept, that’s stated too.</w:t>
      </w:r>
    </w:p>
    <w:p w14:paraId="2EF729A5"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a USD figure is unambiguous about the rate that produced it, and you can pick the native value if you need it.</w:t>
      </w:r>
    </w:p>
    <w:p w14:paraId="5B057003" w14:textId="77777777" w:rsidR="0000547F" w:rsidRDefault="00000000">
      <w:pPr>
        <w:spacing w:before="240" w:after="80"/>
      </w:pPr>
      <w:r>
        <w:rPr>
          <w:b/>
          <w:bCs/>
          <w:color w:val="1A5C38"/>
          <w:sz w:val="24"/>
          <w:szCs w:val="24"/>
        </w:rPr>
        <w:t xml:space="preserve">11. Source transparency </w:t>
      </w:r>
      <w:r>
        <w:rPr>
          <w:i/>
          <w:iCs/>
          <w:color w:val="2E8B57"/>
        </w:rPr>
        <w:t>(Supply chain)</w:t>
      </w:r>
    </w:p>
    <w:p w14:paraId="7AA71175" w14:textId="77777777" w:rsidR="0000547F" w:rsidRDefault="00000000">
      <w:pPr>
        <w:spacing w:before="60" w:after="120"/>
      </w:pPr>
      <w:r>
        <w:rPr>
          <w:color w:val="1A2B22"/>
        </w:rPr>
        <w:t>Each application publishes the upstream feeds it depends on — provider, distribution method, SLA, fallback feed, vendor flag. You can trace back from any dataset to its sources.</w:t>
      </w:r>
    </w:p>
    <w:p w14:paraId="7655A4B2"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when something looks wrong, you can find what fed it without a forensic exercise.</w:t>
      </w:r>
    </w:p>
    <w:p w14:paraId="4E9C2FC8" w14:textId="77777777" w:rsidR="0000547F" w:rsidRDefault="00000000">
      <w:pPr>
        <w:spacing w:before="240" w:after="80"/>
      </w:pPr>
      <w:r>
        <w:rPr>
          <w:b/>
          <w:bCs/>
          <w:color w:val="1A5C38"/>
          <w:sz w:val="24"/>
          <w:szCs w:val="24"/>
        </w:rPr>
        <w:t xml:space="preserve">12. Known issues declared </w:t>
      </w:r>
      <w:r>
        <w:rPr>
          <w:i/>
          <w:iCs/>
          <w:color w:val="2E8B57"/>
        </w:rPr>
        <w:t>(Controls)</w:t>
      </w:r>
    </w:p>
    <w:p w14:paraId="58E1F3E1" w14:textId="77777777" w:rsidR="0000547F" w:rsidRDefault="00000000">
      <w:pPr>
        <w:spacing w:before="60" w:after="120"/>
      </w:pPr>
      <w:r>
        <w:rPr>
          <w:color w:val="1A2B22"/>
        </w:rPr>
        <w:t>Datasets with known issues (data quality gaps, late arrivals, residual differences from a prior system) declare them with a link to the tracker.</w:t>
      </w:r>
    </w:p>
    <w:p w14:paraId="6F55F1FA"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 discover a known issue when you open the catalog, not when a number doesn’t reconcile.</w:t>
      </w:r>
    </w:p>
    <w:p w14:paraId="4F30EB98" w14:textId="77777777" w:rsidR="0000547F" w:rsidRDefault="00000000">
      <w:pPr>
        <w:spacing w:before="240" w:after="80"/>
      </w:pPr>
      <w:r>
        <w:rPr>
          <w:b/>
          <w:bCs/>
          <w:color w:val="1A5C38"/>
          <w:sz w:val="24"/>
          <w:szCs w:val="24"/>
        </w:rPr>
        <w:t xml:space="preserve">13. Conformed entity model — in progress </w:t>
      </w:r>
      <w:r>
        <w:rPr>
          <w:i/>
          <w:iCs/>
          <w:color w:val="2E8B57"/>
        </w:rPr>
        <w:t>(Meaning)</w:t>
      </w:r>
    </w:p>
    <w:p w14:paraId="22CB1617" w14:textId="77777777" w:rsidR="0000547F" w:rsidRDefault="00000000">
      <w:pPr>
        <w:spacing w:before="60" w:after="120"/>
      </w:pPr>
      <w:r>
        <w:rPr>
          <w:color w:val="1A2B22"/>
        </w:rPr>
        <w:t xml:space="preserve">The bank is building a conformed entity model — a shared definition of business concepts like counterparty, exposure, agreement, collateral, issuer, and legal entity. As this model lands at the enterprise level, Risk’s datasets will declare which conformed entities they touch. Risk will </w:t>
      </w:r>
      <w:r>
        <w:rPr>
          <w:color w:val="1A2B22"/>
        </w:rPr>
        <w:lastRenderedPageBreak/>
        <w:t xml:space="preserve">continue to enrich its datasets with the additional fields the function needs beyond the enterprise definitions. Note: this gives you a consistent definition of what counterparty (or any other entity) means across datasets. It does not, by itself, deduplicate values — </w:t>
      </w:r>
      <w:proofErr w:type="spellStart"/>
      <w:r>
        <w:rPr>
          <w:color w:val="1A2B22"/>
        </w:rPr>
        <w:t>recognising</w:t>
      </w:r>
      <w:proofErr w:type="spellEnd"/>
      <w:r>
        <w:rPr>
          <w:color w:val="1A2B22"/>
        </w:rPr>
        <w:t xml:space="preserve"> that “JP Morgan Chase” and “JPMC” refer to the same counterparty is a separate capability that operates on top of conformed entities.</w:t>
      </w:r>
    </w:p>
    <w:p w14:paraId="641B2B19"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when you need data about a business concept, the catalog can eventually show you every dataset touching it — even if you didn’t know which application produces it. Useful for finding new data, not just describing what’s already there.</w:t>
      </w:r>
    </w:p>
    <w:p w14:paraId="01514783" w14:textId="77777777" w:rsidR="0000547F" w:rsidRDefault="00000000">
      <w:pPr>
        <w:spacing w:before="240" w:after="80"/>
      </w:pPr>
      <w:r>
        <w:rPr>
          <w:b/>
          <w:bCs/>
          <w:color w:val="1A5C38"/>
          <w:sz w:val="24"/>
          <w:szCs w:val="24"/>
        </w:rPr>
        <w:t xml:space="preserve">14. Source changes don’t break your consumption </w:t>
      </w:r>
      <w:r>
        <w:rPr>
          <w:i/>
          <w:iCs/>
          <w:color w:val="2E8B57"/>
        </w:rPr>
        <w:t>(Supply chain)</w:t>
      </w:r>
    </w:p>
    <w:p w14:paraId="26310F82" w14:textId="77777777" w:rsidR="0000547F" w:rsidRDefault="00000000">
      <w:pPr>
        <w:spacing w:before="60" w:after="120"/>
      </w:pPr>
      <w:r>
        <w:rPr>
          <w:color w:val="1A2B22"/>
        </w:rPr>
        <w:t>When the underlying source of a dataset changes — for example, when an entity moves from a current feed to the enterprise canonical model, or when an additional source is blended in to fill a gap — the dataset definition and your queries don’t change. The change is handled at the contract layer underneath; what you see at the surface stays consistent.</w:t>
      </w:r>
    </w:p>
    <w:p w14:paraId="432CBA6E" w14:textId="77777777" w:rsidR="0000547F" w:rsidRDefault="00000000">
      <w:pPr>
        <w:spacing w:before="40" w:after="200"/>
      </w:pPr>
      <w:r>
        <w:rPr>
          <w:i/>
          <w:iCs/>
          <w:color w:val="3D5247"/>
          <w:sz w:val="20"/>
          <w:szCs w:val="20"/>
        </w:rPr>
        <w:t xml:space="preserve">Why this matters: </w:t>
      </w:r>
      <w:proofErr w:type="gramStart"/>
      <w:r>
        <w:rPr>
          <w:i/>
          <w:iCs/>
          <w:color w:val="3D5247"/>
          <w:sz w:val="20"/>
          <w:szCs w:val="20"/>
        </w:rPr>
        <w:t>So</w:t>
      </w:r>
      <w:proofErr w:type="gramEnd"/>
      <w:r>
        <w:rPr>
          <w:i/>
          <w:iCs/>
          <w:color w:val="3D5247"/>
          <w:sz w:val="20"/>
          <w:szCs w:val="20"/>
        </w:rPr>
        <w:t xml:space="preserve"> your reports, dashboards, and analyses keep working as Risk </w:t>
      </w:r>
      <w:proofErr w:type="spellStart"/>
      <w:r>
        <w:rPr>
          <w:i/>
          <w:iCs/>
          <w:color w:val="3D5247"/>
          <w:sz w:val="20"/>
          <w:szCs w:val="20"/>
        </w:rPr>
        <w:t>modernises</w:t>
      </w:r>
      <w:proofErr w:type="spellEnd"/>
      <w:r>
        <w:rPr>
          <w:i/>
          <w:iCs/>
          <w:color w:val="3D5247"/>
          <w:sz w:val="20"/>
          <w:szCs w:val="20"/>
        </w:rPr>
        <w:t xml:space="preserve"> its data sources. You don’t have to rewrite anything every time something changes underneath.</w:t>
      </w:r>
    </w:p>
    <w:p w14:paraId="25F8E8E3" w14:textId="77777777" w:rsidR="0000547F" w:rsidRDefault="0000547F">
      <w:pPr>
        <w:pBdr>
          <w:bottom w:val="single" w:sz="6" w:space="1" w:color="1A5C38"/>
        </w:pBdr>
        <w:spacing w:before="240" w:after="120"/>
      </w:pPr>
    </w:p>
    <w:p w14:paraId="590B234E" w14:textId="77777777" w:rsidR="0000547F" w:rsidRDefault="00000000">
      <w:pPr>
        <w:pStyle w:val="Heading1"/>
      </w:pPr>
      <w:r>
        <w:t>The five data-management categories</w:t>
      </w:r>
    </w:p>
    <w:p w14:paraId="1B56552F" w14:textId="77777777" w:rsidR="0000547F" w:rsidRDefault="00000000">
      <w:pPr>
        <w:spacing w:before="80" w:after="160"/>
      </w:pPr>
      <w:r>
        <w:rPr>
          <w:color w:val="1A2B22"/>
        </w:rPr>
        <w:t>Every commitment above sits in one of five categories. The categories follow industry-standard frameworks used across the financial industry.</w:t>
      </w:r>
    </w:p>
    <w:p w14:paraId="5A0EAA7D" w14:textId="77777777" w:rsidR="0000547F" w:rsidRDefault="00000000">
      <w:pPr>
        <w:spacing w:before="160" w:after="40"/>
      </w:pPr>
      <w:r>
        <w:rPr>
          <w:b/>
          <w:bCs/>
          <w:color w:val="1A5C38"/>
          <w:sz w:val="24"/>
          <w:szCs w:val="24"/>
        </w:rPr>
        <w:t>Ownership</w:t>
      </w:r>
    </w:p>
    <w:p w14:paraId="7FAF6302" w14:textId="77777777" w:rsidR="0000547F" w:rsidRDefault="00000000">
      <w:pPr>
        <w:spacing w:before="60" w:after="120"/>
      </w:pPr>
      <w:r>
        <w:rPr>
          <w:color w:val="1A2B22"/>
        </w:rPr>
        <w:t>Who is accountable for the data. Producer, business, stewardship, technical.</w:t>
      </w:r>
    </w:p>
    <w:p w14:paraId="06764F9F" w14:textId="77777777" w:rsidR="0000547F" w:rsidRDefault="00000000">
      <w:pPr>
        <w:spacing w:before="160" w:after="40"/>
      </w:pPr>
      <w:r>
        <w:rPr>
          <w:b/>
          <w:bCs/>
          <w:color w:val="1A5C38"/>
          <w:sz w:val="24"/>
          <w:szCs w:val="24"/>
        </w:rPr>
        <w:t>Controls</w:t>
      </w:r>
    </w:p>
    <w:p w14:paraId="03D93F09" w14:textId="77777777" w:rsidR="0000547F" w:rsidRDefault="00000000">
      <w:pPr>
        <w:spacing w:before="60" w:after="120"/>
      </w:pPr>
      <w:r>
        <w:rPr>
          <w:color w:val="1A2B22"/>
        </w:rPr>
        <w:t>How the data is protected and constrained — sensitivity, access, structural quality (NOT NULL, primary key, foreign key, agreed value lists), and visibility of known issues.</w:t>
      </w:r>
    </w:p>
    <w:p w14:paraId="4053FF8E" w14:textId="77777777" w:rsidR="0000547F" w:rsidRDefault="00000000">
      <w:pPr>
        <w:spacing w:before="160" w:after="40"/>
      </w:pPr>
      <w:r>
        <w:rPr>
          <w:b/>
          <w:bCs/>
          <w:color w:val="1A5C38"/>
          <w:sz w:val="24"/>
          <w:szCs w:val="24"/>
        </w:rPr>
        <w:t>Supply chain</w:t>
      </w:r>
    </w:p>
    <w:p w14:paraId="717FC8C5" w14:textId="77777777" w:rsidR="0000547F" w:rsidRDefault="00000000">
      <w:pPr>
        <w:spacing w:before="60" w:after="120"/>
      </w:pPr>
      <w:r>
        <w:rPr>
          <w:color w:val="1A2B22"/>
        </w:rPr>
        <w:t>Where the data originates and what it depends on — producing app, upstream feeds, refresh cadence and SLAs, FX and reference data, source precedence, calculation methodology.</w:t>
      </w:r>
    </w:p>
    <w:p w14:paraId="4E4613C5" w14:textId="77777777" w:rsidR="0000547F" w:rsidRDefault="00000000">
      <w:pPr>
        <w:spacing w:before="160" w:after="40"/>
      </w:pPr>
      <w:r>
        <w:rPr>
          <w:b/>
          <w:bCs/>
          <w:color w:val="1A5C38"/>
          <w:sz w:val="24"/>
          <w:szCs w:val="24"/>
        </w:rPr>
        <w:t>Meaning</w:t>
      </w:r>
    </w:p>
    <w:p w14:paraId="71713D1D" w14:textId="77777777" w:rsidR="0000547F" w:rsidRDefault="00000000">
      <w:pPr>
        <w:spacing w:before="60" w:after="120"/>
      </w:pPr>
      <w:r>
        <w:rPr>
          <w:color w:val="1A2B22"/>
        </w:rPr>
        <w:t xml:space="preserve">What the data means in business language — descriptions, business-readable names, units, aggregation </w:t>
      </w:r>
      <w:proofErr w:type="spellStart"/>
      <w:r>
        <w:rPr>
          <w:color w:val="1A2B22"/>
        </w:rPr>
        <w:t>behaviour</w:t>
      </w:r>
      <w:proofErr w:type="spellEnd"/>
      <w:r>
        <w:rPr>
          <w:color w:val="1A2B22"/>
        </w:rPr>
        <w:t>, conformed entity references.</w:t>
      </w:r>
    </w:p>
    <w:p w14:paraId="2042657E" w14:textId="77777777" w:rsidR="0000547F" w:rsidRDefault="00000000">
      <w:pPr>
        <w:spacing w:before="160" w:after="40"/>
      </w:pPr>
      <w:r>
        <w:rPr>
          <w:b/>
          <w:bCs/>
          <w:color w:val="1A5C38"/>
          <w:sz w:val="24"/>
          <w:szCs w:val="24"/>
        </w:rPr>
        <w:t>Lifecycle</w:t>
      </w:r>
    </w:p>
    <w:p w14:paraId="2E3C5217" w14:textId="77777777" w:rsidR="0000547F" w:rsidRDefault="00000000">
      <w:pPr>
        <w:spacing w:before="60" w:after="120"/>
      </w:pPr>
      <w:r>
        <w:rPr>
          <w:color w:val="1A2B22"/>
        </w:rPr>
        <w:t>Where the data is in its life — draft, active, deprecated, retired — and its structural shape (dim, fact, view).</w:t>
      </w:r>
    </w:p>
    <w:p w14:paraId="5B26027D" w14:textId="77777777" w:rsidR="0000547F" w:rsidRDefault="0000547F">
      <w:pPr>
        <w:pBdr>
          <w:bottom w:val="single" w:sz="6" w:space="1" w:color="1A5C38"/>
        </w:pBdr>
        <w:spacing w:before="240" w:after="120"/>
      </w:pPr>
    </w:p>
    <w:p w14:paraId="5C3A4FD9" w14:textId="77777777" w:rsidR="0000547F" w:rsidRDefault="00000000">
      <w:pPr>
        <w:pStyle w:val="Heading1"/>
      </w:pPr>
      <w:r>
        <w:t>Underlying standard</w:t>
      </w:r>
    </w:p>
    <w:p w14:paraId="44161AE3" w14:textId="77777777" w:rsidR="0000547F" w:rsidRDefault="00000000">
      <w:pPr>
        <w:spacing w:before="80" w:after="160"/>
      </w:pPr>
      <w:r>
        <w:rPr>
          <w:color w:val="1A2B22"/>
        </w:rPr>
        <w:t xml:space="preserve">The technical contracts behind these commitments follow the Open Data Contract Standard (ODCS) — an open, industry-supported standard for describing what a data product is and what </w:t>
      </w:r>
      <w:r>
        <w:rPr>
          <w:color w:val="1A2B22"/>
        </w:rPr>
        <w:lastRenderedPageBreak/>
        <w:t>it commits to. Using ODCS means TD's contracts use the same shape as other firms adopting the standard, so the format is familiar to anyone who has worked with data contracts elsewhere.</w:t>
      </w:r>
    </w:p>
    <w:p w14:paraId="1F125540" w14:textId="77777777" w:rsidR="0000547F" w:rsidRDefault="0000547F">
      <w:pPr>
        <w:pBdr>
          <w:bottom w:val="single" w:sz="6" w:space="1" w:color="1A5C38"/>
        </w:pBdr>
        <w:spacing w:before="240" w:after="120"/>
      </w:pPr>
    </w:p>
    <w:p w14:paraId="1D5D497A" w14:textId="77777777" w:rsidR="0000547F" w:rsidRDefault="00000000">
      <w:pPr>
        <w:spacing w:before="40" w:after="200"/>
      </w:pPr>
      <w:r>
        <w:rPr>
          <w:i/>
          <w:iCs/>
          <w:color w:val="3D5247"/>
          <w:sz w:val="20"/>
          <w:szCs w:val="20"/>
        </w:rPr>
        <w:t>Risk Data team, Counterparty Credit Risk. Review and revisions welcome from business leaders and consumers.</w:t>
      </w:r>
    </w:p>
    <w:sectPr w:rsidR="000054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6D4F" w14:textId="77777777" w:rsidR="006E5E76" w:rsidRDefault="006E5E76">
      <w:r>
        <w:separator/>
      </w:r>
    </w:p>
  </w:endnote>
  <w:endnote w:type="continuationSeparator" w:id="0">
    <w:p w14:paraId="0A658036" w14:textId="77777777" w:rsidR="006E5E76" w:rsidRDefault="006E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3623" w14:textId="77777777" w:rsidR="0000547F" w:rsidRDefault="00000000">
    <w:pPr>
      <w:jc w:val="center"/>
    </w:pPr>
    <w:r>
      <w:rPr>
        <w:color w:val="7F8C84"/>
        <w:sz w:val="18"/>
        <w:szCs w:val="18"/>
      </w:rPr>
      <w:t xml:space="preserve">Page </w:t>
    </w:r>
    <w:r>
      <w:rPr>
        <w:color w:val="7F8C84"/>
        <w:sz w:val="18"/>
        <w:szCs w:val="18"/>
      </w:rPr>
      <w:fldChar w:fldCharType="begin"/>
    </w:r>
    <w:r>
      <w:rPr>
        <w:color w:val="7F8C84"/>
        <w:sz w:val="18"/>
        <w:szCs w:val="18"/>
      </w:rPr>
      <w:instrText>PAGE</w:instrText>
    </w:r>
    <w:r>
      <w:rPr>
        <w:color w:val="7F8C84"/>
        <w:sz w:val="18"/>
        <w:szCs w:val="18"/>
      </w:rPr>
      <w:fldChar w:fldCharType="separate"/>
    </w:r>
    <w:r w:rsidR="006857A9">
      <w:rPr>
        <w:noProof/>
        <w:color w:val="7F8C84"/>
        <w:sz w:val="18"/>
        <w:szCs w:val="18"/>
      </w:rPr>
      <w:t>1</w:t>
    </w:r>
    <w:r>
      <w:rPr>
        <w:color w:val="7F8C84"/>
        <w:sz w:val="18"/>
        <w:szCs w:val="18"/>
      </w:rPr>
      <w:fldChar w:fldCharType="end"/>
    </w:r>
    <w:r>
      <w:rPr>
        <w:color w:val="7F8C84"/>
        <w:sz w:val="18"/>
        <w:szCs w:val="18"/>
      </w:rPr>
      <w:t xml:space="preserve"> of </w:t>
    </w:r>
    <w:r>
      <w:rPr>
        <w:color w:val="7F8C84"/>
        <w:sz w:val="18"/>
        <w:szCs w:val="18"/>
      </w:rPr>
      <w:fldChar w:fldCharType="begin"/>
    </w:r>
    <w:r>
      <w:rPr>
        <w:color w:val="7F8C84"/>
        <w:sz w:val="18"/>
        <w:szCs w:val="18"/>
      </w:rPr>
      <w:instrText>NUMPAGES</w:instrText>
    </w:r>
    <w:r>
      <w:rPr>
        <w:color w:val="7F8C84"/>
        <w:sz w:val="18"/>
        <w:szCs w:val="18"/>
      </w:rPr>
      <w:fldChar w:fldCharType="separate"/>
    </w:r>
    <w:r w:rsidR="006857A9">
      <w:rPr>
        <w:noProof/>
        <w:color w:val="7F8C84"/>
        <w:sz w:val="18"/>
        <w:szCs w:val="18"/>
      </w:rPr>
      <w:t>2</w:t>
    </w:r>
    <w:r>
      <w:rPr>
        <w:color w:val="7F8C8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4013" w14:textId="77777777" w:rsidR="006E5E76" w:rsidRDefault="006E5E76">
      <w:r>
        <w:separator/>
      </w:r>
    </w:p>
  </w:footnote>
  <w:footnote w:type="continuationSeparator" w:id="0">
    <w:p w14:paraId="4F6D70C2" w14:textId="77777777" w:rsidR="006E5E76" w:rsidRDefault="006E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8FB9" w14:textId="77777777" w:rsidR="0000547F" w:rsidRDefault="00000000">
    <w:pPr>
      <w:jc w:val="right"/>
    </w:pPr>
    <w:r>
      <w:rPr>
        <w:i/>
        <w:iCs/>
        <w:color w:val="7F8C84"/>
        <w:sz w:val="18"/>
        <w:szCs w:val="18"/>
      </w:rPr>
      <w:t>Risk Data Commitments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306"/>
    <w:multiLevelType w:val="hybridMultilevel"/>
    <w:tmpl w:val="663EB440"/>
    <w:lvl w:ilvl="0" w:tplc="8A6AA178">
      <w:start w:val="1"/>
      <w:numFmt w:val="bullet"/>
      <w:lvlText w:val="●"/>
      <w:lvlJc w:val="left"/>
      <w:pPr>
        <w:ind w:left="720" w:hanging="360"/>
      </w:pPr>
    </w:lvl>
    <w:lvl w:ilvl="1" w:tplc="0AEECC1A">
      <w:start w:val="1"/>
      <w:numFmt w:val="bullet"/>
      <w:lvlText w:val="○"/>
      <w:lvlJc w:val="left"/>
      <w:pPr>
        <w:ind w:left="1440" w:hanging="360"/>
      </w:pPr>
    </w:lvl>
    <w:lvl w:ilvl="2" w:tplc="795AF1B6">
      <w:start w:val="1"/>
      <w:numFmt w:val="bullet"/>
      <w:lvlText w:val="■"/>
      <w:lvlJc w:val="left"/>
      <w:pPr>
        <w:ind w:left="2160" w:hanging="360"/>
      </w:pPr>
    </w:lvl>
    <w:lvl w:ilvl="3" w:tplc="87241A48">
      <w:start w:val="1"/>
      <w:numFmt w:val="bullet"/>
      <w:lvlText w:val="●"/>
      <w:lvlJc w:val="left"/>
      <w:pPr>
        <w:ind w:left="2880" w:hanging="360"/>
      </w:pPr>
    </w:lvl>
    <w:lvl w:ilvl="4" w:tplc="B7FA76CA">
      <w:start w:val="1"/>
      <w:numFmt w:val="bullet"/>
      <w:lvlText w:val="○"/>
      <w:lvlJc w:val="left"/>
      <w:pPr>
        <w:ind w:left="3600" w:hanging="360"/>
      </w:pPr>
    </w:lvl>
    <w:lvl w:ilvl="5" w:tplc="8DC2E28E">
      <w:start w:val="1"/>
      <w:numFmt w:val="bullet"/>
      <w:lvlText w:val="■"/>
      <w:lvlJc w:val="left"/>
      <w:pPr>
        <w:ind w:left="4320" w:hanging="360"/>
      </w:pPr>
    </w:lvl>
    <w:lvl w:ilvl="6" w:tplc="F190BBFE">
      <w:start w:val="1"/>
      <w:numFmt w:val="bullet"/>
      <w:lvlText w:val="●"/>
      <w:lvlJc w:val="left"/>
      <w:pPr>
        <w:ind w:left="5040" w:hanging="360"/>
      </w:pPr>
    </w:lvl>
    <w:lvl w:ilvl="7" w:tplc="B20ADA18">
      <w:start w:val="1"/>
      <w:numFmt w:val="bullet"/>
      <w:lvlText w:val="●"/>
      <w:lvlJc w:val="left"/>
      <w:pPr>
        <w:ind w:left="5760" w:hanging="360"/>
      </w:pPr>
    </w:lvl>
    <w:lvl w:ilvl="8" w:tplc="46188128">
      <w:start w:val="1"/>
      <w:numFmt w:val="bullet"/>
      <w:lvlText w:val="●"/>
      <w:lvlJc w:val="left"/>
      <w:pPr>
        <w:ind w:left="6480" w:hanging="360"/>
      </w:pPr>
    </w:lvl>
  </w:abstractNum>
  <w:abstractNum w:abstractNumId="1" w15:restartNumberingAfterBreak="0">
    <w:nsid w:val="30F56E02"/>
    <w:multiLevelType w:val="hybridMultilevel"/>
    <w:tmpl w:val="25CEC51A"/>
    <w:lvl w:ilvl="0" w:tplc="E86C3AC8">
      <w:start w:val="1"/>
      <w:numFmt w:val="bullet"/>
      <w:lvlText w:val="•"/>
      <w:lvlJc w:val="left"/>
      <w:pPr>
        <w:ind w:left="540" w:hanging="360"/>
      </w:pPr>
    </w:lvl>
    <w:lvl w:ilvl="1" w:tplc="56127278">
      <w:numFmt w:val="decimal"/>
      <w:lvlText w:val=""/>
      <w:lvlJc w:val="left"/>
    </w:lvl>
    <w:lvl w:ilvl="2" w:tplc="E01AFD12">
      <w:numFmt w:val="decimal"/>
      <w:lvlText w:val=""/>
      <w:lvlJc w:val="left"/>
    </w:lvl>
    <w:lvl w:ilvl="3" w:tplc="28A6B1E8">
      <w:numFmt w:val="decimal"/>
      <w:lvlText w:val=""/>
      <w:lvlJc w:val="left"/>
    </w:lvl>
    <w:lvl w:ilvl="4" w:tplc="820A2620">
      <w:numFmt w:val="decimal"/>
      <w:lvlText w:val=""/>
      <w:lvlJc w:val="left"/>
    </w:lvl>
    <w:lvl w:ilvl="5" w:tplc="089C8E68">
      <w:numFmt w:val="decimal"/>
      <w:lvlText w:val=""/>
      <w:lvlJc w:val="left"/>
    </w:lvl>
    <w:lvl w:ilvl="6" w:tplc="BB32E750">
      <w:numFmt w:val="decimal"/>
      <w:lvlText w:val=""/>
      <w:lvlJc w:val="left"/>
    </w:lvl>
    <w:lvl w:ilvl="7" w:tplc="74BE1F88">
      <w:numFmt w:val="decimal"/>
      <w:lvlText w:val=""/>
      <w:lvlJc w:val="left"/>
    </w:lvl>
    <w:lvl w:ilvl="8" w:tplc="1708EBAC">
      <w:numFmt w:val="decimal"/>
      <w:lvlText w:val=""/>
      <w:lvlJc w:val="left"/>
    </w:lvl>
  </w:abstractNum>
  <w:num w:numId="1" w16cid:durableId="1048064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47F"/>
    <w:rsid w:val="0000547F"/>
    <w:rsid w:val="006857A9"/>
    <w:rsid w:val="006C029A"/>
    <w:rsid w:val="006E5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041CB9"/>
  <w15:docId w15:val="{DEEA3D0B-A207-CC48-A118-891DE5D2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C38"/>
      <w:sz w:val="32"/>
      <w:szCs w:val="32"/>
    </w:rPr>
  </w:style>
  <w:style w:type="paragraph" w:styleId="Heading2">
    <w:name w:val="heading 2"/>
    <w:uiPriority w:val="9"/>
    <w:unhideWhenUsed/>
    <w:qFormat/>
    <w:pPr>
      <w:spacing w:before="240" w:after="120"/>
      <w:outlineLvl w:val="1"/>
    </w:pPr>
    <w:rPr>
      <w:b/>
      <w:bCs/>
      <w:color w:val="1A5C3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1167</Words>
  <Characters>6294</Characters>
  <Application>Microsoft Office Word</Application>
  <DocSecurity>0</DocSecurity>
  <Lines>116</Lines>
  <Paragraphs>73</Paragraphs>
  <ScaleCrop>false</ScaleCrop>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Data Commitments</dc:title>
  <dc:creator>Risk Data team</dc:creator>
  <cp:lastModifiedBy>Reena Cheema</cp:lastModifiedBy>
  <cp:revision>2</cp:revision>
  <dcterms:created xsi:type="dcterms:W3CDTF">2026-06-07T19:45:00Z</dcterms:created>
  <dcterms:modified xsi:type="dcterms:W3CDTF">2026-06-08T14:03:00Z</dcterms:modified>
</cp:coreProperties>
</file>