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76B2C"/>
          <w:sz w:val="48"/>
          <w:szCs w:val="48"/>
        </w:rPr>
        <w:t xml:space="preserve">Confluence Restructure</w:t>
      </w:r>
    </w:p>
    <w:p>
      <w:pPr>
        <w:spacing w:after="400"/>
        <w:jc w:val="center"/>
      </w:pPr>
      <w:r>
        <w:rPr>
          <w:i/>
          <w:iCs/>
          <w:color w:val="595959"/>
          <w:sz w:val="24"/>
          <w:szCs w:val="24"/>
        </w:rPr>
        <w:t xml:space="preserve">Risk Data — Operating Model &amp; Standards · complete page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How to use this document. Each section starts with a green PAGE marker showing the page name and (if applicable) its parent. Everything that follows until the next PAGE marker is the full content for that one Confluence page. Create the page in Confluence, copy the content, paste.</w:t>
            </w:r>
          </w:p>
        </w:tc>
      </w:tr>
    </w:tbl>
    <w:p>
      <w:pPr>
        <w:spacing w:after="100" w:before="100"/>
      </w:pPr>
      <w:r>
        <w:rPr>
          <w:rFonts w:ascii="Calibri" w:cs="Calibri" w:eastAsia="Calibri" w:hAnsi="Calibri"/>
          <w:sz w:val="22"/>
          <w:szCs w:val="22"/>
        </w:rPr>
        <w:t xml:space="preserve"/>
      </w:r>
    </w:p>
    <w:p>
      <w:pPr>
        <w:pStyle w:val="Heading2"/>
        <w:spacing w:after="140" w:before="280"/>
      </w:pPr>
      <w:r>
        <w:rPr>
          <w:b/>
          <w:bCs/>
          <w:color w:val="176B2C"/>
          <w:sz w:val="26"/>
          <w:szCs w:val="26"/>
        </w:rPr>
        <w:t xml:space="preserve">The new hierarchy</w:t>
      </w:r>
    </w:p>
    <w:p>
      <w:pPr>
        <w:spacing w:after="100" w:before="100"/>
      </w:pPr>
      <w:r>
        <w:rPr>
          <w:rFonts w:ascii="Calibri" w:cs="Calibri" w:eastAsia="Calibri" w:hAnsi="Calibri"/>
          <w:b/>
          <w:bCs/>
          <w:sz w:val="22"/>
          <w:szCs w:val="22"/>
        </w:rPr>
        <w:t xml:space="preserve">Operating Model &amp; Standards (landing — replaces the previous landing)</w:t>
      </w:r>
    </w:p>
    <w:p>
      <w:pPr>
        <w:spacing w:after="100" w:before="100"/>
      </w:pPr>
      <w:r>
        <w:rPr>
          <w:rFonts w:ascii="Calibri" w:cs="Calibri" w:eastAsia="Calibri" w:hAnsi="Calibri"/>
          <w:sz w:val="22"/>
          <w:szCs w:val="22"/>
        </w:rPr>
        <w:t xml:space="preserve">├── 1. Architecture &amp; Design  [unchanged]</w:t>
      </w:r>
    </w:p>
    <w:p>
      <w:pPr>
        <w:spacing w:after="100" w:before="100"/>
      </w:pPr>
      <w:r>
        <w:rPr>
          <w:rFonts w:ascii="Calibri" w:cs="Calibri" w:eastAsia="Calibri" w:hAnsi="Calibri"/>
          <w:sz w:val="22"/>
          <w:szCs w:val="22"/>
        </w:rPr>
        <w:t xml:space="preserve">├── 2. Data Modeling for Risk  [content unchanged from v2; carries new child]</w:t>
      </w:r>
    </w:p>
    <w:p>
      <w:pPr>
        <w:spacing w:after="100" w:before="100"/>
      </w:pPr>
      <w:r>
        <w:rPr>
          <w:rFonts w:ascii="Calibri" w:cs="Calibri" w:eastAsia="Calibri" w:hAnsi="Calibri"/>
          <w:sz w:val="22"/>
          <w:szCs w:val="22"/>
        </w:rPr>
        <w:t xml:space="preserve">│       └── 2.1 Semantic Layer Standard  [new child page]</w:t>
      </w:r>
    </w:p>
    <w:p>
      <w:pPr>
        <w:spacing w:after="100" w:before="100"/>
      </w:pPr>
      <w:r>
        <w:rPr>
          <w:rFonts w:ascii="Calibri" w:cs="Calibri" w:eastAsia="Calibri" w:hAnsi="Calibri"/>
          <w:sz w:val="22"/>
          <w:szCs w:val="22"/>
        </w:rPr>
        <w:t xml:space="preserve">├── 3. Naming Convention Standard  [now its own page]</w:t>
      </w:r>
    </w:p>
    <w:p>
      <w:pPr>
        <w:spacing w:after="100" w:before="100"/>
      </w:pPr>
      <w:r>
        <w:rPr>
          <w:rFonts w:ascii="Calibri" w:cs="Calibri" w:eastAsia="Calibri" w:hAnsi="Calibri"/>
          <w:sz w:val="22"/>
          <w:szCs w:val="22"/>
        </w:rPr>
        <w:t xml:space="preserve">├── 4. Data Contract Standard  [new — landing for contract topic]</w:t>
      </w:r>
    </w:p>
    <w:p>
      <w:pPr>
        <w:spacing w:after="100" w:before="100"/>
      </w:pPr>
      <w:r>
        <w:rPr>
          <w:rFonts w:ascii="Calibri" w:cs="Calibri" w:eastAsia="Calibri" w:hAnsi="Calibri"/>
          <w:sz w:val="22"/>
          <w:szCs w:val="22"/>
        </w:rPr>
        <w:t xml:space="preserve">│       ├── 4.1 Intake Process  [now its own page]</w:t>
      </w:r>
    </w:p>
    <w:p>
      <w:pPr>
        <w:spacing w:after="100" w:before="100"/>
      </w:pPr>
      <w:r>
        <w:rPr>
          <w:rFonts w:ascii="Calibri" w:cs="Calibri" w:eastAsia="Calibri" w:hAnsi="Calibri"/>
          <w:sz w:val="22"/>
          <w:szCs w:val="22"/>
        </w:rPr>
        <w:t xml:space="preserve">│       └── 4.2 Change Management  [now its own page]</w:t>
      </w:r>
    </w:p>
    <w:p>
      <w:pPr>
        <w:spacing w:after="100" w:before="100"/>
      </w:pPr>
      <w:r>
        <w:rPr>
          <w:rFonts w:ascii="Calibri" w:cs="Calibri" w:eastAsia="Calibri" w:hAnsi="Calibri"/>
          <w:sz w:val="22"/>
          <w:szCs w:val="22"/>
        </w:rPr>
        <w:t xml:space="preserve">├── 5. Databricks Platform Standards  [new — landing for platform topic]</w:t>
      </w:r>
    </w:p>
    <w:p>
      <w:pPr>
        <w:spacing w:after="100" w:before="100"/>
      </w:pPr>
      <w:r>
        <w:rPr>
          <w:rFonts w:ascii="Calibri" w:cs="Calibri" w:eastAsia="Calibri" w:hAnsi="Calibri"/>
          <w:sz w:val="22"/>
          <w:szCs w:val="22"/>
        </w:rPr>
        <w:t xml:space="preserve">│       ├── 5.1 Schema &amp; Catalog Design  [now its own page]</w:t>
      </w:r>
    </w:p>
    <w:p>
      <w:pPr>
        <w:spacing w:after="100" w:before="100"/>
      </w:pPr>
      <w:r>
        <w:rPr>
          <w:rFonts w:ascii="Calibri" w:cs="Calibri" w:eastAsia="Calibri" w:hAnsi="Calibri"/>
          <w:sz w:val="22"/>
          <w:szCs w:val="22"/>
        </w:rPr>
        <w:t xml:space="preserve">│       └── 5.2 UC Tag Standards  [now its own page]</w:t>
      </w:r>
    </w:p>
    <w:p>
      <w:pPr>
        <w:spacing w:after="100" w:before="100"/>
      </w:pPr>
      <w:r>
        <w:rPr>
          <w:rFonts w:ascii="Calibri" w:cs="Calibri" w:eastAsia="Calibri" w:hAnsi="Calibri"/>
          <w:sz w:val="22"/>
          <w:szCs w:val="22"/>
        </w:rPr>
        <w:t xml:space="preserve">├── 6. Authoring Flows  [now its own page]</w:t>
      </w:r>
    </w:p>
    <w:p>
      <w:pPr>
        <w:spacing w:after="100" w:before="100"/>
      </w:pPr>
      <w:r>
        <w:rPr>
          <w:rFonts w:ascii="Calibri" w:cs="Calibri" w:eastAsia="Calibri" w:hAnsi="Calibri"/>
          <w:sz w:val="22"/>
          <w:szCs w:val="22"/>
        </w:rPr>
        <w:t xml:space="preserve">├── 7. Consumer Registry  [now its own page]</w:t>
      </w:r>
    </w:p>
    <w:p>
      <w:pPr>
        <w:spacing w:after="100" w:before="100"/>
      </w:pPr>
      <w:r>
        <w:rPr>
          <w:rFonts w:ascii="Calibri" w:cs="Calibri" w:eastAsia="Calibri" w:hAnsi="Calibri"/>
          <w:sz w:val="22"/>
          <w:szCs w:val="22"/>
        </w:rPr>
        <w:t xml:space="preserve">├── 8. Worked Example — Counterparty 360  [unchanged]</w:t>
      </w:r>
    </w:p>
    <w:p>
      <w:pPr>
        <w:spacing w:after="100" w:before="100"/>
      </w:pPr>
      <w:r>
        <w:rPr>
          <w:rFonts w:ascii="Calibri" w:cs="Calibri" w:eastAsia="Calibri" w:hAnsi="Calibri"/>
          <w:sz w:val="22"/>
          <w:szCs w:val="22"/>
        </w:rPr>
        <w:t xml:space="preserve">├── 9. From Risk Reports to Governed Data Products  [unchanged]</w:t>
      </w:r>
    </w:p>
    <w:p>
      <w:pPr>
        <w:spacing w:after="100" w:before="100"/>
      </w:pPr>
      <w:r>
        <w:rPr>
          <w:rFonts w:ascii="Calibri" w:cs="Calibri" w:eastAsia="Calibri" w:hAnsi="Calibri"/>
          <w:sz w:val="22"/>
          <w:szCs w:val="22"/>
        </w:rPr>
        <w:t xml:space="preserve">└── 10. Governance &amp; Cadence  [unchanged]</w:t>
      </w:r>
    </w:p>
    <w:p>
      <w:pPr>
        <w:spacing w:after="100" w:before="100"/>
      </w:pPr>
      <w:r>
        <w:rPr>
          <w:rFonts w:ascii="Calibri" w:cs="Calibri" w:eastAsia="Calibri" w:hAnsi="Calibri"/>
          <w:sz w:val="22"/>
          <w:szCs w:val="22"/>
        </w:rPr>
        <w:t xml:space="preserve"/>
      </w:r>
    </w:p>
    <w:p>
      <w:pPr>
        <w:spacing w:after="100" w:before="100"/>
      </w:pPr>
      <w:r>
        <w:rPr>
          <w:rFonts w:ascii="Calibri" w:cs="Calibri" w:eastAsia="Calibri" w:hAnsi="Calibri"/>
          <w:sz w:val="22"/>
          <w:szCs w:val="22"/>
        </w:rPr>
        <w:t xml:space="preserve">What this document covers. Every page in the new structure is included below, with full content. Pages marked 'unchanged' are listed here for reference but their content stays as it is in your current Confluence — no need to recreate them. The old Standards &amp; Artifacts Library page is deleted; its content is redistributed across the new pages below.</w:t>
      </w:r>
    </w:p>
    <w:p>
      <w:pPr>
        <w:spacing w:after="100" w:before="100"/>
      </w:pPr>
      <w:r>
        <w:rPr>
          <w:rFonts w:ascii="Calibri" w:cs="Calibri" w:eastAsia="Calibri" w:hAnsi="Calibri"/>
          <w:i/>
          <w:iCs/>
          <w:color w:val="595959"/>
          <w:sz w:val="22"/>
          <w:szCs w:val="22"/>
        </w:rPr>
        <w:t xml:space="preserve">Attachments to move. The download attachments currently on the Standards &amp; Artifacts Library page need to move to the new Operating Model &amp; Standards landing page. List of attachments at the end of this document.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TOP-LEVEL PAGE</w:t>
            </w:r>
          </w:p>
          <w:p>
            <w:r>
              <w:rPr>
                <w:b/>
                <w:bCs/>
                <w:color w:val="FFFFFF"/>
                <w:sz w:val="32"/>
                <w:szCs w:val="32"/>
              </w:rPr>
              <w:t xml:space="preserve">Risk Data — Operating Model &amp; Standards</w:t>
            </w:r>
          </w:p>
        </w:tc>
      </w:tr>
    </w:tbl>
    <w:p>
      <w:pPr>
        <w:spacing w:after="280" w:before="100"/>
        <w:jc w:val="center"/>
      </w:pPr>
      <w:r>
        <w:rPr>
          <w:b/>
          <w:bCs/>
          <w:color w:val="176B2C"/>
          <w:sz w:val="40"/>
          <w:szCs w:val="40"/>
        </w:rPr>
        <w:t xml:space="preserve">Risk Data — Operating Model &amp; Standards</w:t>
      </w:r>
    </w:p>
    <w:p>
      <w:pPr>
        <w:spacing w:after="280"/>
        <w:jc w:val="center"/>
      </w:pPr>
      <w:r>
        <w:rPr>
          <w:i/>
          <w:iCs/>
          <w:color w:val="595959"/>
          <w:sz w:val="22"/>
          <w:szCs w:val="22"/>
        </w:rPr>
        <w:t xml:space="preserve">Standards, templates, and the operating model for building governed risk data products</w:t>
      </w:r>
    </w:p>
    <w:p>
      <w:pPr>
        <w:spacing w:after="100" w:before="100"/>
      </w:pPr>
      <w:r>
        <w:rPr>
          <w:rFonts w:ascii="Calibri" w:cs="Calibri" w:eastAsia="Calibri" w:hAnsi="Calibri"/>
          <w:sz w:val="22"/>
          <w:szCs w:val="22"/>
        </w:rPr>
        <w:t xml:space="preserve">This is the home of the operating model and standards that the Risk Data team and its partners follow when building, consuming, or governing risk data products. Everything you need to onboard a new product, publish a contract, or understand who does what is reachable from this page.</w:t>
      </w:r>
    </w:p>
    <w:p>
      <w:pPr>
        <w:pStyle w:val="Heading2"/>
        <w:spacing w:after="140" w:before="280"/>
      </w:pPr>
      <w:r>
        <w:rPr>
          <w:b/>
          <w:bCs/>
          <w:color w:val="176B2C"/>
          <w:sz w:val="26"/>
          <w:szCs w:val="26"/>
        </w:rPr>
        <w:t xml:space="preserve">Where to find things</w:t>
      </w:r>
    </w:p>
    <w:p>
      <w:pPr>
        <w:spacing w:after="100" w:before="100"/>
      </w:pPr>
      <w:r>
        <w:rPr>
          <w:rFonts w:ascii="Calibri" w:cs="Calibri" w:eastAsia="Calibri" w:hAnsi="Calibri"/>
          <w:sz w:val="22"/>
          <w:szCs w:val="22"/>
        </w:rPr>
        <w:t xml:space="preserve">Four kinds of content sit under this landing:</w:t>
      </w:r>
    </w:p>
    <w:p>
      <w:pPr>
        <w:pStyle w:val="ListParagraph"/>
        <w:numPr>
          <w:ilvl w:val="0"/>
          <w:numId w:val="2"/>
        </w:numPr>
        <w:spacing w:after="50" w:before="50"/>
      </w:pPr>
      <w:r>
        <w:rPr>
          <w:sz w:val="22"/>
          <w:szCs w:val="22"/>
        </w:rPr>
        <w:t xml:space="preserve">Architecture and modeling — how the data is structured (Pages 1 and 2)</w:t>
      </w:r>
    </w:p>
    <w:p>
      <w:pPr>
        <w:pStyle w:val="ListParagraph"/>
        <w:numPr>
          <w:ilvl w:val="0"/>
          <w:numId w:val="2"/>
        </w:numPr>
        <w:spacing w:after="50" w:before="50"/>
      </w:pPr>
      <w:r>
        <w:rPr>
          <w:sz w:val="22"/>
          <w:szCs w:val="22"/>
        </w:rPr>
        <w:t xml:space="preserve">Standards — the conventions every product follows (Pages 3, 4, 5)</w:t>
      </w:r>
    </w:p>
    <w:p>
      <w:pPr>
        <w:pStyle w:val="ListParagraph"/>
        <w:numPr>
          <w:ilvl w:val="0"/>
          <w:numId w:val="2"/>
        </w:numPr>
        <w:spacing w:after="50" w:before="50"/>
      </w:pPr>
      <w:r>
        <w:rPr>
          <w:sz w:val="22"/>
          <w:szCs w:val="22"/>
        </w:rPr>
        <w:t xml:space="preserve">Governance and operations — who does what, how products evolve, who consumes them (Pages 6, 7, 10)</w:t>
      </w:r>
    </w:p>
    <w:p>
      <w:pPr>
        <w:pStyle w:val="ListParagraph"/>
        <w:numPr>
          <w:ilvl w:val="0"/>
          <w:numId w:val="2"/>
        </w:numPr>
        <w:spacing w:after="50" w:before="50"/>
      </w:pPr>
      <w:r>
        <w:rPr>
          <w:sz w:val="22"/>
          <w:szCs w:val="22"/>
        </w:rPr>
        <w:t xml:space="preserve">Worked examples — how it all comes together in real cases (Pages 8 and 9)</w:t>
      </w:r>
    </w:p>
    <w:p>
      <w:pPr>
        <w:pStyle w:val="Heading2"/>
        <w:spacing w:after="140" w:before="280"/>
      </w:pPr>
      <w:r>
        <w:rPr>
          <w:b/>
          <w:bCs/>
          <w:color w:val="176B2C"/>
          <w:sz w:val="26"/>
          <w:szCs w:val="26"/>
        </w:rPr>
        <w:t xml:space="preserve">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Page</w:t>
            </w:r>
          </w:p>
        </w:tc>
        <w:tc>
          <w:tcPr>
            <w:tcW w:type="dxa" w:w="57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What it covers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Architecture &amp; Design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The Databricks landscape, the A→B→C resolution path, three views, the data journey from app to consumer.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Modeling for Risk</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How application data gets modeled — entities, relationships, conformance across apps. Practical guide for app teams.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2.1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 Layer Standard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(Child of Data Modeling.) How the model is exposed to consumers — measures, dimensions, aggregations, joins.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Naming Convention Standard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Four name forms (business, physical, short, alias), how they're derived, where they're stored.</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Contract Standard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What a data contract is, the attribute spec, the lifecycle from intake to change. Has two child pages.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4.1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Intake Process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(Child of Data Contract Standard.) Jira intake form and process for new product requests.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4.2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Change Management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(Child of Data Contract Standard.) How contracts evolve — versions, notice periods, surfaces.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Databricks Platform Standards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Platform-specific implementation guidance. Has two child pages.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5.1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Schema &amp; Catalog Design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(Child of Databricks Platform Standards.) Catalog layout, schema naming, table naming.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5.2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UC Tag Standards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(Child of Databricks Platform Standards.) Tag inventory at app-layer, column-layer, semantic-layer.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Authoring Flows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Who authors what — Business, Data Product Owner, Engineer. The three-flow model.</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Consumer Registry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Persistent consumer tracking — the table schema and registration process.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Worked Example — Counterparty 360</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End-to-end example of a real product built on these standards.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9</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From Risk Reports to Governed Data Products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The path that turns existing application reports into contracted products.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10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Governance &amp; Cadence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Forums, cadences, escalation paths.</w:t>
            </w:r>
          </w:p>
        </w:tc>
      </w:tr>
    </w:tbl>
    <w:p>
      <w:pPr>
        <w:spacing w:after="200"/>
      </w:pPr>
      <w:r>
        <w:t xml:space="preserve"> </w:t>
      </w:r>
    </w:p>
    <w:p>
      <w:pPr>
        <w:pStyle w:val="Heading2"/>
        <w:spacing w:after="140" w:before="280"/>
      </w:pPr>
      <w:r>
        <w:rPr>
          <w:b/>
          <w:bCs/>
          <w:color w:val="176B2C"/>
          <w:sz w:val="26"/>
          <w:szCs w:val="26"/>
        </w:rPr>
        <w:t xml:space="preserve">Templates and reference artifacts</w:t>
      </w:r>
    </w:p>
    <w:p>
      <w:pPr>
        <w:spacing w:after="100" w:before="100"/>
      </w:pPr>
      <w:r>
        <w:rPr>
          <w:rFonts w:ascii="Calibri" w:cs="Calibri" w:eastAsia="Calibri" w:hAnsi="Calibri"/>
          <w:sz w:val="22"/>
          <w:szCs w:val="22"/>
        </w:rPr>
        <w:t xml:space="preserve">The following workbooks and YAML files are the operational reference. Each is the canonical version; always download from this page rather than circulating older 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360"/>
      </w:tblGrid>
      <w:tr>
        <w:trPr>
          <w:tblHeader/>
        </w:trPr>
        <w:tc>
          <w:tcPr>
            <w:tcW w:type="dxa" w:w="30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Artifact</w:t>
            </w:r>
          </w:p>
        </w:tc>
        <w:tc>
          <w:tcPr>
            <w:tcW w:type="dxa" w:w="50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Used for</w:t>
            </w:r>
          </w:p>
        </w:tc>
        <w:tc>
          <w:tcPr>
            <w:tcW w:type="dxa" w:w="13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Latest version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data_contract_attribute_spec_v6_1.xlsx</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Single source of truth for product contract attributes. Lists every attribute, who fills it, how it surfaces.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v6.1</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data_contract_template_v6_1.yaml</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Template YAML for new contracts. Includes pointer headers showing which blocks compose from upstream artifacts.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v6.1</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uc_metadata_standards_v5_1.xlsx</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App-layer tags, column-level standards, semantic-layer tags.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v5.1</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uc_system_queries_quickref.xlsx</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Sample SQL queries against system.information_schema and system.access for catalog inspection.</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current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roles_activities_matrix_v1.xlsx</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Full activity matrix (cross-reference with Roles &amp; Responsibilities page).</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v1</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jira_intake_template_spec_v1.docx</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Intake form structure — used by the Intake Process page.</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v1</w:t>
            </w:r>
          </w:p>
        </w:tc>
      </w:tr>
    </w:tbl>
    <w:p>
      <w:pPr>
        <w:spacing w:after="200"/>
      </w:pPr>
      <w:r>
        <w:t xml:space="preserve"> </w:t>
      </w:r>
    </w:p>
    <w:p>
      <w:pPr>
        <w:pStyle w:val="Heading2"/>
        <w:spacing w:after="140" w:before="280"/>
      </w:pPr>
      <w:r>
        <w:rPr>
          <w:b/>
          <w:bCs/>
          <w:color w:val="176B2C"/>
          <w:sz w:val="26"/>
          <w:szCs w:val="26"/>
        </w:rPr>
        <w:t xml:space="preserve">Who maintains this space</w:t>
      </w:r>
    </w:p>
    <w:p>
      <w:pPr>
        <w:spacing w:after="100" w:before="100"/>
      </w:pPr>
      <w:r>
        <w:rPr>
          <w:rFonts w:ascii="Calibri" w:cs="Calibri" w:eastAsia="Calibri" w:hAnsi="Calibri"/>
          <w:sz w:val="22"/>
          <w:szCs w:val="22"/>
        </w:rPr>
        <w:t xml:space="preserve">Owner: Risk Data Team. Content owners are listed on each individual page. Updates should be raised in the standards review forum (see Governance &amp; Cadence).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Risk Data — Operating Model &amp; Standards</w:t>
            </w:r>
          </w:p>
          <w:p>
            <w:r>
              <w:rPr>
                <w:b/>
                <w:bCs/>
                <w:color w:val="FFFFFF"/>
                <w:sz w:val="32"/>
                <w:szCs w:val="32"/>
              </w:rPr>
              <w:t xml:space="preserve">↳ 1. Architecture &amp;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Content unchanged from your current Confluence. No need to recreate this page — it stays as is.</w:t>
            </w:r>
          </w:p>
        </w:tc>
      </w:tr>
    </w:tbl>
    <w:p>
      <w:pPr>
        <w:spacing w:after="100" w:before="100"/>
      </w:pPr>
      <w:r>
        <w:rPr>
          <w:rFonts w:ascii="Calibri" w:cs="Calibri" w:eastAsia="Calibri" w:hAnsi="Calibri"/>
          <w:i/>
          <w:iCs/>
          <w:color w:val="595959"/>
          <w:sz w:val="22"/>
          <w:szCs w:val="22"/>
        </w:rPr>
        <w:t xml:space="preserve">This page covers: data domain context (CDM Domain #5), the 6-stage data journey, the Databricks landscape with A→B→C resolution path, three views (app / PG / risk warehouse), artifact types (Entity / Domain Model / Data Product / Star Schema), code locations, update behaviours, and 360-style products.</w:t>
      </w:r>
    </w:p>
    <w:p>
      <w:pPr>
        <w:spacing w:after="100" w:before="100"/>
      </w:pPr>
      <w:r>
        <w:rPr>
          <w:rFonts w:ascii="Calibri" w:cs="Calibri" w:eastAsia="Calibri" w:hAnsi="Calibri"/>
          <w:i/>
          <w:iCs/>
          <w:color w:val="595959"/>
          <w:sz w:val="22"/>
          <w:szCs w:val="22"/>
        </w:rPr>
        <w:t xml:space="preserve">If you do want to update it after the restructure, three small tweaks would help:</w:t>
      </w:r>
    </w:p>
    <w:p>
      <w:pPr>
        <w:pStyle w:val="ListParagraph"/>
        <w:numPr>
          <w:ilvl w:val="0"/>
          <w:numId w:val="2"/>
        </w:numPr>
        <w:spacing w:after="50" w:before="50"/>
      </w:pPr>
      <w:r>
        <w:rPr>
          <w:sz w:val="22"/>
          <w:szCs w:val="22"/>
        </w:rPr>
        <w:t xml:space="preserve">Update cross-references from 'Standards &amp; Artifacts Library Section E' to 'Schema &amp; Catalog Design' (page 5.1)</w:t>
      </w:r>
    </w:p>
    <w:p>
      <w:pPr>
        <w:pStyle w:val="ListParagraph"/>
        <w:numPr>
          <w:ilvl w:val="0"/>
          <w:numId w:val="2"/>
        </w:numPr>
        <w:spacing w:after="50" w:before="50"/>
      </w:pPr>
      <w:r>
        <w:rPr>
          <w:sz w:val="22"/>
          <w:szCs w:val="22"/>
        </w:rPr>
        <w:t xml:space="preserve">Update cross-references from 'Standards &amp; Artifacts Library Section F' to 'Naming Convention Standard' (page 3)</w:t>
      </w:r>
    </w:p>
    <w:p>
      <w:pPr>
        <w:pStyle w:val="ListParagraph"/>
        <w:numPr>
          <w:ilvl w:val="0"/>
          <w:numId w:val="2"/>
        </w:numPr>
        <w:spacing w:after="50" w:before="50"/>
      </w:pPr>
      <w:r>
        <w:rPr>
          <w:sz w:val="22"/>
          <w:szCs w:val="22"/>
        </w:rPr>
        <w:t xml:space="preserve">Update cross-references from 'Standards &amp; Artifacts Library Section H' to 'Semantic Layer Standard' (page 2.1)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Risk Data — Operating Model &amp; Standards</w:t>
            </w:r>
          </w:p>
          <w:p>
            <w:r>
              <w:rPr>
                <w:b/>
                <w:bCs/>
                <w:color w:val="FFFFFF"/>
                <w:sz w:val="32"/>
                <w:szCs w:val="32"/>
              </w:rPr>
              <w:t xml:space="preserve">↳ 2. Data Modeling for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Content unchanged from data_modeling_confluence_page_v2.docx (with companion deck data_modeling_deck_v2.pptx). If you've already imported v2, keep it. The only change in this restructure is that this page now has a child page — Semantic Layer Standard (Page 2.1).</w:t>
            </w:r>
          </w:p>
        </w:tc>
      </w:tr>
    </w:tbl>
    <w:p>
      <w:pPr>
        <w:spacing w:after="100" w:before="100"/>
      </w:pPr>
      <w:r>
        <w:rPr>
          <w:rFonts w:ascii="Calibri" w:cs="Calibri" w:eastAsia="Calibri" w:hAnsi="Calibri"/>
          <w:i/>
          <w:iCs/>
          <w:color w:val="595959"/>
          <w:sz w:val="22"/>
          <w:szCs w:val="22"/>
        </w:rPr>
        <w:t xml:space="preserve">This page covers: where you are today (the four collateral reports), where we're heading (the three layers), the four-step modeling journey (see the entities, sketch the app model, classify entities, conform across apps), the two representations (visual ERD + technical DDL), how the data contract gets built (slide 11), and the query-vs-model shift (slide 12).</w:t>
      </w:r>
    </w:p>
    <w:p>
      <w:pPr>
        <w:spacing w:after="100" w:before="100"/>
      </w:pPr>
      <w:r>
        <w:rPr>
          <w:rFonts w:ascii="Calibri" w:cs="Calibri" w:eastAsia="Calibri" w:hAnsi="Calibri"/>
          <w:i/>
          <w:iCs/>
          <w:color w:val="595959"/>
          <w:sz w:val="22"/>
          <w:szCs w:val="22"/>
        </w:rPr>
        <w:t xml:space="preserve">Update needed: add a 'Where to go from here' link to the new child page Semantic Layer Standard.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2. Data Modeling for Risk</w:t>
            </w:r>
          </w:p>
          <w:p>
            <w:r>
              <w:rPr>
                <w:b/>
                <w:bCs/>
                <w:color w:val="FFFFFF"/>
                <w:sz w:val="32"/>
                <w:szCs w:val="32"/>
              </w:rPr>
              <w:t xml:space="preserve">↳ 2.1 Semantic Layer Standard</w:t>
            </w:r>
          </w:p>
        </w:tc>
      </w:tr>
    </w:tbl>
    <w:p>
      <w:pPr>
        <w:spacing w:after="280" w:before="100"/>
        <w:jc w:val="center"/>
      </w:pPr>
      <w:r>
        <w:rPr>
          <w:b/>
          <w:bCs/>
          <w:color w:val="176B2C"/>
          <w:sz w:val="40"/>
          <w:szCs w:val="40"/>
        </w:rPr>
        <w:t xml:space="preserve">Semantic Layer Standard</w:t>
      </w:r>
    </w:p>
    <w:p>
      <w:pPr>
        <w:spacing w:after="280"/>
        <w:jc w:val="center"/>
      </w:pPr>
      <w:r>
        <w:rPr>
          <w:i/>
          <w:iCs/>
          <w:color w:val="595959"/>
          <w:sz w:val="22"/>
          <w:szCs w:val="22"/>
        </w:rPr>
        <w:t xml:space="preserve">How the model is exposed to consumers — measures, dimensions, aggregations, joins</w:t>
      </w:r>
    </w:p>
    <w:p>
      <w:pPr>
        <w:spacing w:after="100" w:before="100"/>
      </w:pPr>
      <w:r>
        <w:rPr>
          <w:rFonts w:ascii="Calibri" w:cs="Calibri" w:eastAsia="Calibri" w:hAnsi="Calibri"/>
          <w:i/>
          <w:iCs/>
          <w:color w:val="595959"/>
          <w:sz w:val="22"/>
          <w:szCs w:val="22"/>
        </w:rPr>
        <w:t xml:space="preserve">Authority. Risk Data Team defines the semantic layer for each analytics-zone data product. The PG Leader / Tech Product Owner approves business measure definitions. Engineering implements.</w:t>
      </w:r>
    </w:p>
    <w:p>
      <w:pPr>
        <w:spacing w:after="100" w:before="100"/>
      </w:pPr>
      <w:r>
        <w:rPr>
          <w:rFonts w:ascii="Calibri" w:cs="Calibri" w:eastAsia="Calibri" w:hAnsi="Calibri"/>
          <w:i/>
          <w:iCs/>
          <w:color w:val="595959"/>
          <w:sz w:val="22"/>
          <w:szCs w:val="22"/>
        </w:rPr>
        <w:t xml:space="preserve">Companion artifacts. The semantic layer reference page on Confluence, Databricks Metric View documentation, and the sample-queries page for each product. The contract YAML carries pointers to all three via the exploration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The semantic layer is a concept. Today it lives as a configuration file (YAML, dbt semantic model, MicroStrategy schema object, or similar — depending on the team's tooling). The current direction is Databricks Metric Views, but the standard does not commit to any specific tool. As the platform matures, the configuration will move into native catalog objects. The attribute names in the contract (semantic_view, etc.) stay the same regardless of which tool implements them.</w:t>
            </w:r>
          </w:p>
        </w:tc>
      </w:tr>
    </w:tbl>
    <w:p>
      <w:pPr>
        <w:pStyle w:val="Heading2"/>
        <w:spacing w:after="140" w:before="280"/>
      </w:pPr>
      <w:r>
        <w:rPr>
          <w:b/>
          <w:bCs/>
          <w:color w:val="176B2C"/>
          <w:sz w:val="26"/>
          <w:szCs w:val="26"/>
        </w:rPr>
        <w:t xml:space="preserve">Why this matters</w:t>
      </w:r>
    </w:p>
    <w:p>
      <w:pPr>
        <w:spacing w:after="100" w:before="100"/>
      </w:pPr>
      <w:r>
        <w:rPr>
          <w:rFonts w:ascii="Calibri" w:cs="Calibri" w:eastAsia="Calibri" w:hAnsi="Calibri"/>
          <w:sz w:val="22"/>
          <w:szCs w:val="22"/>
        </w:rPr>
        <w:t xml:space="preserve">Today, when the business has a question, a developer writes a SQL query to answer it. Next question — next query. Hundreds of one-off queries accumulate. Each query embeds someone's interpretation of how a measure should be calculated, which dimensions to slice by, which filters to apply. Same metric ends up calculated differently across queries. The business waits on engineering for every new question.</w:t>
      </w:r>
    </w:p>
    <w:p>
      <w:pPr>
        <w:spacing w:after="100" w:before="100"/>
      </w:pPr>
      <w:r>
        <w:rPr>
          <w:rFonts w:ascii="Calibri" w:cs="Calibri" w:eastAsia="Calibri" w:hAnsi="Calibri"/>
          <w:sz w:val="22"/>
          <w:szCs w:val="22"/>
        </w:rPr>
        <w:t xml:space="preserve">A semantic layer changes this pattern. The semantic layer declares — once — what each measure is, how it aggregates, what dimensions are valid, and how it joins to other data. BI tools, Genie, ad-hoc users, and AI agents query the semantic layer directly. The business drags and drops; the answer is consistent every time because the rules live in the model, not in someone's notebook.</w:t>
      </w:r>
    </w:p>
    <w:p>
      <w:pPr>
        <w:spacing w:after="100" w:before="100"/>
      </w:pPr>
      <w:r>
        <w:rPr>
          <w:rFonts w:ascii="Calibri" w:cs="Calibri" w:eastAsia="Calibri" w:hAnsi="Calibri"/>
          <w:sz w:val="22"/>
          <w:szCs w:val="22"/>
        </w:rPr>
        <w:t xml:space="preserve">Two implications worth naming up front:</w:t>
      </w:r>
    </w:p>
    <w:p>
      <w:pPr>
        <w:pStyle w:val="ListParagraph"/>
        <w:numPr>
          <w:ilvl w:val="0"/>
          <w:numId w:val="2"/>
        </w:numPr>
        <w:spacing w:after="50" w:before="50"/>
      </w:pPr>
      <w:r>
        <w:rPr>
          <w:sz w:val="22"/>
          <w:szCs w:val="22"/>
        </w:rPr>
        <w:t xml:space="preserve">Consistency. Everyone gets the same definition of PFE, the same aggregation of HQLA, the same join from exposure to counterparty. No more reconciling between developers' queries.</w:t>
      </w:r>
    </w:p>
    <w:p>
      <w:pPr>
        <w:pStyle w:val="ListParagraph"/>
        <w:numPr>
          <w:ilvl w:val="0"/>
          <w:numId w:val="2"/>
        </w:numPr>
        <w:spacing w:after="50" w:before="50"/>
      </w:pPr>
      <w:r>
        <w:rPr>
          <w:sz w:val="22"/>
          <w:szCs w:val="22"/>
        </w:rPr>
        <w:t xml:space="preserve">Role shift. The developer's job moves from writing one-off queries to building durable models. The Data Product Owner shapes the model with the business. Engineering implements. Same people, more leverage.</w:t>
      </w:r>
    </w:p>
    <w:p>
      <w:pPr>
        <w:spacing w:after="100" w:before="100"/>
      </w:pPr>
      <w:r>
        <w:rPr>
          <w:rFonts w:ascii="Calibri" w:cs="Calibri" w:eastAsia="Calibri" w:hAnsi="Calibri"/>
          <w:i/>
          <w:iCs/>
          <w:color w:val="595959"/>
          <w:sz w:val="22"/>
          <w:szCs w:val="22"/>
        </w:rPr>
        <w:t xml:space="preserve">For the parallel story in the data modeling guide, see slide 12 in the Data Modeling deck — From query-based to model-based consumption.</w:t>
      </w:r>
    </w:p>
    <w:p>
      <w:pPr>
        <w:pStyle w:val="Heading2"/>
        <w:spacing w:after="140" w:before="280"/>
      </w:pPr>
      <w:r>
        <w:rPr>
          <w:b/>
          <w:bCs/>
          <w:color w:val="176B2C"/>
          <w:sz w:val="26"/>
          <w:szCs w:val="26"/>
        </w:rPr>
        <w:t xml:space="preserve">What a semantic-layer configuration is</w:t>
      </w:r>
    </w:p>
    <w:p>
      <w:pPr>
        <w:spacing w:after="100" w:before="100"/>
      </w:pPr>
      <w:r>
        <w:rPr>
          <w:rFonts w:ascii="Calibri" w:cs="Calibri" w:eastAsia="Calibri" w:hAnsi="Calibri"/>
          <w:sz w:val="22"/>
          <w:szCs w:val="22"/>
        </w:rPr>
        <w:t xml:space="preserve">Each configuration declares five things about the underlying data product:</w:t>
      </w:r>
    </w:p>
    <w:p>
      <w:pPr>
        <w:pStyle w:val="ListParagraph"/>
        <w:numPr>
          <w:ilvl w:val="0"/>
          <w:numId w:val="2"/>
        </w:numPr>
        <w:spacing w:after="50" w:before="50"/>
      </w:pPr>
      <w:r>
        <w:rPr>
          <w:sz w:val="22"/>
          <w:szCs w:val="22"/>
        </w:rPr>
        <w:t xml:space="preserve">Source — the physical product the configuration sits on top of (e.g. risk_warehouse.products.collateral_exposure)</w:t>
      </w:r>
    </w:p>
    <w:p>
      <w:pPr>
        <w:pStyle w:val="ListParagraph"/>
        <w:numPr>
          <w:ilvl w:val="0"/>
          <w:numId w:val="2"/>
        </w:numPr>
        <w:spacing w:after="50" w:before="50"/>
      </w:pPr>
      <w:r>
        <w:rPr>
          <w:sz w:val="22"/>
          <w:szCs w:val="22"/>
        </w:rPr>
        <w:t xml:space="preserve">Dimensions — the safe slicers consumers can use (e.g. business_date, counterparty, currency)</w:t>
      </w:r>
    </w:p>
    <w:p>
      <w:pPr>
        <w:pStyle w:val="ListParagraph"/>
        <w:numPr>
          <w:ilvl w:val="0"/>
          <w:numId w:val="2"/>
        </w:numPr>
        <w:spacing w:after="50" w:before="50"/>
      </w:pPr>
      <w:r>
        <w:rPr>
          <w:sz w:val="22"/>
          <w:szCs w:val="22"/>
        </w:rPr>
        <w:t xml:space="preserve">Measures — the numeric values that can be aggregated, with declared aggregation rules (additive over which dimensions, non-additive over which, units)</w:t>
      </w:r>
    </w:p>
    <w:p>
      <w:pPr>
        <w:pStyle w:val="ListParagraph"/>
        <w:numPr>
          <w:ilvl w:val="0"/>
          <w:numId w:val="2"/>
        </w:numPr>
        <w:spacing w:after="50" w:before="50"/>
      </w:pPr>
      <w:r>
        <w:rPr>
          <w:sz w:val="22"/>
          <w:szCs w:val="22"/>
        </w:rPr>
        <w:t xml:space="preserve">Joins — relationships to other products or reference data, declared so consumers can cross-query without writing the join logic</w:t>
      </w:r>
    </w:p>
    <w:p>
      <w:pPr>
        <w:pStyle w:val="ListParagraph"/>
        <w:numPr>
          <w:ilvl w:val="0"/>
          <w:numId w:val="2"/>
        </w:numPr>
        <w:spacing w:after="50" w:before="50"/>
      </w:pPr>
      <w:r>
        <w:rPr>
          <w:sz w:val="22"/>
          <w:szCs w:val="22"/>
        </w:rPr>
        <w:t xml:space="preserve">Filters — default filters that scope the model (e.g. exclude cancelled trades)</w:t>
      </w:r>
    </w:p>
    <w:p>
      <w:pPr>
        <w:spacing w:after="100" w:before="100"/>
      </w:pPr>
      <w:r>
        <w:rPr>
          <w:rFonts w:ascii="Calibri" w:cs="Calibri" w:eastAsia="Calibri" w:hAnsi="Calibri"/>
          <w:sz w:val="22"/>
          <w:szCs w:val="22"/>
        </w:rPr>
        <w:t xml:space="preserve">The configuration is owned by the Data Product Owner with input from Engineering. It's authored alongside the contract and lives on Confluence (today) or as a catalog object (future).</w:t>
      </w:r>
    </w:p>
    <w:p>
      <w:pPr>
        <w:pStyle w:val="Heading2"/>
        <w:spacing w:after="140" w:before="280"/>
      </w:pPr>
      <w:r>
        <w:rPr>
          <w:b/>
          <w:bCs/>
          <w:color w:val="176B2C"/>
          <w:sz w:val="26"/>
          <w:szCs w:val="26"/>
        </w:rPr>
        <w:t xml:space="preserve">UC tags applied to the semantic-layer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Tag</w:t>
            </w:r>
          </w:p>
        </w:tc>
        <w:tc>
          <w:tcPr>
            <w:tcW w:type="dxa" w:w="27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Value type</w:t>
            </w:r>
          </w:p>
        </w:tc>
        <w:tc>
          <w:tcPr>
            <w:tcW w:type="dxa" w:w="39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Purpose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semantic.present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boolean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Marks the object as a semantic-layer configuration. Distinguishes from regular views.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semantic.config_type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core · composite · aggregate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core = one per data product; composite = joins multiple products; aggregate = pre-aggregated rollup.</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semantic.contract_url</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URL</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Points to the contract YAML or its rendered Confluence page.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semantic.product_path</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fully-qualified path</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Path of the underlying product (e.g. risk_warehouse.products.collateral_exposure).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semantic.consumed_by</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multi-value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Which tools query this — microstrategy, genie, ad_hoc, power_bi, etc.</w:t>
            </w:r>
          </w:p>
        </w:tc>
      </w:tr>
    </w:tbl>
    <w:p>
      <w:pPr>
        <w:spacing w:after="160"/>
      </w:pPr>
      <w:r>
        <w:t xml:space="preserve"> </w:t>
      </w:r>
    </w:p>
    <w:p>
      <w:pPr>
        <w:spacing w:after="100" w:before="100"/>
      </w:pPr>
      <w:r>
        <w:rPr>
          <w:rFonts w:ascii="Calibri" w:cs="Calibri" w:eastAsia="Calibri" w:hAnsi="Calibri"/>
          <w:sz w:val="22"/>
          <w:szCs w:val="22"/>
        </w:rPr>
        <w:t xml:space="preserve">Plus inherited tags from the underlying product — owner.*, class.*, capability, status. These are set automatically by CI, not re-authored.</w:t>
      </w:r>
    </w:p>
    <w:p>
      <w:pPr>
        <w:pStyle w:val="Heading2"/>
        <w:spacing w:after="140" w:before="280"/>
      </w:pPr>
      <w:r>
        <w:rPr>
          <w:b/>
          <w:bCs/>
          <w:color w:val="176B2C"/>
          <w:sz w:val="26"/>
          <w:szCs w:val="26"/>
        </w:rPr>
        <w:t xml:space="preserve">Exploration queries</w:t>
      </w:r>
    </w:p>
    <w:p>
      <w:pPr>
        <w:spacing w:after="100" w:before="100"/>
      </w:pPr>
      <w:r>
        <w:rPr>
          <w:rFonts w:ascii="Calibri" w:cs="Calibri" w:eastAsia="Calibri" w:hAnsi="Calibri"/>
          <w:sz w:val="22"/>
          <w:szCs w:val="22"/>
        </w:rPr>
        <w:t xml:space="preserve">Each semantic-layer object carries a small set of sample queries — three to five worked examples showing what the model can answer and how to query it. These queries live on Confluence alongside the semantic-layer documentation, not inside the contract YAML.</w:t>
      </w:r>
    </w:p>
    <w:p>
      <w:pPr>
        <w:spacing w:after="100" w:before="100"/>
      </w:pPr>
      <w:r>
        <w:rPr>
          <w:rFonts w:ascii="Calibri" w:cs="Calibri" w:eastAsia="Calibri" w:hAnsi="Calibri"/>
          <w:sz w:val="22"/>
          <w:szCs w:val="22"/>
        </w:rPr>
        <w:t xml:space="preserve">Purpose:</w:t>
      </w:r>
    </w:p>
    <w:p>
      <w:pPr>
        <w:pStyle w:val="ListParagraph"/>
        <w:numPr>
          <w:ilvl w:val="0"/>
          <w:numId w:val="2"/>
        </w:numPr>
        <w:spacing w:after="50" w:before="50"/>
      </w:pPr>
      <w:r>
        <w:rPr>
          <w:sz w:val="22"/>
          <w:szCs w:val="22"/>
        </w:rPr>
        <w:t xml:space="preserve">Onboarding — a new consumer sees what the model can answer at a glance</w:t>
      </w:r>
    </w:p>
    <w:p>
      <w:pPr>
        <w:pStyle w:val="ListParagraph"/>
        <w:numPr>
          <w:ilvl w:val="0"/>
          <w:numId w:val="2"/>
        </w:numPr>
        <w:spacing w:after="50" w:before="50"/>
      </w:pPr>
      <w:r>
        <w:rPr>
          <w:sz w:val="22"/>
          <w:szCs w:val="22"/>
        </w:rPr>
        <w:t xml:space="preserve">Cross-product demonstration — shows where the conformed model unlocks cross-domain questions</w:t>
      </w:r>
    </w:p>
    <w:p>
      <w:pPr>
        <w:pStyle w:val="ListParagraph"/>
        <w:numPr>
          <w:ilvl w:val="0"/>
          <w:numId w:val="2"/>
        </w:numPr>
        <w:spacing w:after="50" w:before="50"/>
      </w:pPr>
      <w:r>
        <w:rPr>
          <w:sz w:val="22"/>
          <w:szCs w:val="22"/>
        </w:rPr>
        <w:t xml:space="preserve">Test cases — the queries can be reused as DQ checks ensuring the model behaves consistently over time</w:t>
      </w:r>
    </w:p>
    <w:p>
      <w:pPr>
        <w:spacing w:after="100" w:before="100"/>
      </w:pPr>
      <w:r>
        <w:rPr>
          <w:rFonts w:ascii="Calibri" w:cs="Calibri" w:eastAsia="Calibri" w:hAnsi="Calibri"/>
          <w:b/>
          <w:bCs/>
          <w:sz w:val="22"/>
          <w:szCs w:val="22"/>
        </w:rPr>
        <w:t xml:space="preserve">Sample exploration queries for the Collateral Exposure semantic-layer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color="auto" w:val="clear"/>
            <w:tcMar>
              <w:top w:type="dxa" w:w="120"/>
              <w:left w:type="dxa" w:w="160"/>
              <w:bottom w:type="dxa" w:w="120"/>
              <w:right w:type="dxa" w:w="160"/>
            </w:tcMar>
          </w:tcPr>
          <w:p>
            <w:pPr>
              <w:spacing w:after="0" w:before="0"/>
            </w:pPr>
            <w:r>
              <w:rPr>
                <w:rFonts w:ascii="Consolas" w:cs="Consolas" w:eastAsia="Consolas" w:hAnsi="Consolas"/>
                <w:color w:val="1F4E78"/>
                <w:sz w:val="18"/>
                <w:szCs w:val="18"/>
              </w:rPr>
              <w:t xml:space="preserve">-- 1. Daily exposure by counterparty for the last 7 business days</w:t>
            </w:r>
          </w:p>
          <w:p>
            <w:pPr>
              <w:spacing w:after="0" w:before="0"/>
            </w:pPr>
            <w:r>
              <w:rPr>
                <w:rFonts w:ascii="Consolas" w:cs="Consolas" w:eastAsia="Consolas" w:hAnsi="Consolas"/>
                <w:color w:val="1F4E78"/>
                <w:sz w:val="18"/>
                <w:szCs w:val="18"/>
              </w:rPr>
              <w:t xml:space="preserve">SELECT business_date, counterparty, SUM(exposure_amount) AS total</w:t>
            </w:r>
          </w:p>
          <w:p>
            <w:pPr>
              <w:spacing w:after="0" w:before="0"/>
            </w:pPr>
            <w:r>
              <w:rPr>
                <w:rFonts w:ascii="Consolas" w:cs="Consolas" w:eastAsia="Consolas" w:hAnsi="Consolas"/>
                <w:color w:val="1F4E78"/>
                <w:sz w:val="18"/>
                <w:szCs w:val="18"/>
              </w:rPr>
              <w:t xml:space="preserve">FROM risk_warehouse.semantic.collateral_exposure_semantic_view</w:t>
            </w:r>
          </w:p>
          <w:p>
            <w:pPr>
              <w:spacing w:after="0" w:before="0"/>
            </w:pPr>
            <w:r>
              <w:rPr>
                <w:rFonts w:ascii="Consolas" w:cs="Consolas" w:eastAsia="Consolas" w:hAnsi="Consolas"/>
                <w:color w:val="1F4E78"/>
                <w:sz w:val="18"/>
                <w:szCs w:val="18"/>
              </w:rPr>
              <w:t xml:space="preserve">WHERE business_date &gt;= current_date() - 7</w:t>
            </w:r>
          </w:p>
          <w:p>
            <w:pPr>
              <w:spacing w:after="0" w:before="0"/>
            </w:pPr>
            <w:r>
              <w:rPr>
                <w:rFonts w:ascii="Consolas" w:cs="Consolas" w:eastAsia="Consolas" w:hAnsi="Consolas"/>
                <w:color w:val="1F4E78"/>
                <w:sz w:val="18"/>
                <w:szCs w:val="18"/>
              </w:rPr>
              <w:t xml:space="preserve">GROUP BY business_date, counterparty;</w:t>
            </w:r>
          </w:p>
          <w:p>
            <w:pPr>
              <w:spacing w:after="0" w:before="0"/>
            </w:pPr>
            <w:r>
              <w:rPr>
                <w:rFonts w:ascii="Consolas" w:cs="Consolas" w:eastAsia="Consolas" w:hAnsi="Consolas"/>
                <w:color w:val="1F4E78"/>
                <w:sz w:val="18"/>
                <w:szCs w:val="18"/>
              </w:rPr>
              <w:t xml:space="preserve"> </w:t>
            </w:r>
          </w:p>
          <w:p>
            <w:pPr>
              <w:spacing w:after="0" w:before="0"/>
            </w:pPr>
            <w:r>
              <w:rPr>
                <w:rFonts w:ascii="Consolas" w:cs="Consolas" w:eastAsia="Consolas" w:hAnsi="Consolas"/>
                <w:color w:val="1F4E78"/>
                <w:sz w:val="18"/>
                <w:szCs w:val="18"/>
              </w:rPr>
              <w:t xml:space="preserve">-- 2. Top 10 counterparties by total exposure today</w:t>
            </w:r>
          </w:p>
          <w:p>
            <w:pPr>
              <w:spacing w:after="0" w:before="0"/>
            </w:pPr>
            <w:r>
              <w:rPr>
                <w:rFonts w:ascii="Consolas" w:cs="Consolas" w:eastAsia="Consolas" w:hAnsi="Consolas"/>
                <w:color w:val="1F4E78"/>
                <w:sz w:val="18"/>
                <w:szCs w:val="18"/>
              </w:rPr>
              <w:t xml:space="preserve">SELECT counterparty, SUM(exposure_amount) AS total</w:t>
            </w:r>
          </w:p>
          <w:p>
            <w:pPr>
              <w:spacing w:after="0" w:before="0"/>
            </w:pPr>
            <w:r>
              <w:rPr>
                <w:rFonts w:ascii="Consolas" w:cs="Consolas" w:eastAsia="Consolas" w:hAnsi="Consolas"/>
                <w:color w:val="1F4E78"/>
                <w:sz w:val="18"/>
                <w:szCs w:val="18"/>
              </w:rPr>
              <w:t xml:space="preserve">FROM risk_warehouse.semantic.collateral_exposure_semantic_view</w:t>
            </w:r>
          </w:p>
          <w:p>
            <w:pPr>
              <w:spacing w:after="0" w:before="0"/>
            </w:pPr>
            <w:r>
              <w:rPr>
                <w:rFonts w:ascii="Consolas" w:cs="Consolas" w:eastAsia="Consolas" w:hAnsi="Consolas"/>
                <w:color w:val="1F4E78"/>
                <w:sz w:val="18"/>
                <w:szCs w:val="18"/>
              </w:rPr>
              <w:t xml:space="preserve">WHERE business_date = current_date()</w:t>
            </w:r>
          </w:p>
          <w:p>
            <w:pPr>
              <w:spacing w:after="0" w:before="0"/>
            </w:pPr>
            <w:r>
              <w:rPr>
                <w:rFonts w:ascii="Consolas" w:cs="Consolas" w:eastAsia="Consolas" w:hAnsi="Consolas"/>
                <w:color w:val="1F4E78"/>
                <w:sz w:val="18"/>
                <w:szCs w:val="18"/>
              </w:rPr>
              <w:t xml:space="preserve">GROUP BY counterparty</w:t>
            </w:r>
          </w:p>
          <w:p>
            <w:pPr>
              <w:spacing w:after="0" w:before="0"/>
            </w:pPr>
            <w:r>
              <w:rPr>
                <w:rFonts w:ascii="Consolas" w:cs="Consolas" w:eastAsia="Consolas" w:hAnsi="Consolas"/>
                <w:color w:val="1F4E78"/>
                <w:sz w:val="18"/>
                <w:szCs w:val="18"/>
              </w:rPr>
              <w:t xml:space="preserve">ORDER BY total DESC LIMIT 10;</w:t>
            </w:r>
          </w:p>
          <w:p>
            <w:pPr>
              <w:spacing w:after="0" w:before="0"/>
            </w:pPr>
            <w:r>
              <w:rPr>
                <w:rFonts w:ascii="Consolas" w:cs="Consolas" w:eastAsia="Consolas" w:hAnsi="Consolas"/>
                <w:color w:val="1F4E78"/>
                <w:sz w:val="18"/>
                <w:szCs w:val="18"/>
              </w:rPr>
              <w:t xml:space="preserve"> </w:t>
            </w:r>
          </w:p>
          <w:p>
            <w:pPr>
              <w:spacing w:after="0" w:before="0"/>
            </w:pPr>
            <w:r>
              <w:rPr>
                <w:rFonts w:ascii="Consolas" w:cs="Consolas" w:eastAsia="Consolas" w:hAnsi="Consolas"/>
                <w:color w:val="1F4E78"/>
                <w:sz w:val="18"/>
                <w:szCs w:val="18"/>
              </w:rPr>
              <w:t xml:space="preserve">-- 3. Cross-product — collateral encumbrance versus liquidity buffer</w:t>
            </w:r>
          </w:p>
          <w:p>
            <w:pPr>
              <w:spacing w:after="0" w:before="0"/>
            </w:pPr>
            <w:r>
              <w:rPr>
                <w:rFonts w:ascii="Consolas" w:cs="Consolas" w:eastAsia="Consolas" w:hAnsi="Consolas"/>
                <w:color w:val="1F4E78"/>
                <w:sz w:val="18"/>
                <w:szCs w:val="18"/>
              </w:rPr>
              <w:t xml:space="preserve">SELECT c.business_date, c.currency,</w:t>
            </w:r>
          </w:p>
          <w:p>
            <w:pPr>
              <w:spacing w:after="0" w:before="0"/>
            </w:pPr>
            <w:r>
              <w:rPr>
                <w:rFonts w:ascii="Consolas" w:cs="Consolas" w:eastAsia="Consolas" w:hAnsi="Consolas"/>
                <w:color w:val="1F4E78"/>
                <w:sz w:val="18"/>
                <w:szCs w:val="18"/>
              </w:rPr>
              <w:t xml:space="preserve">       l.total_hqla, c.total_pledged,</w:t>
            </w:r>
          </w:p>
          <w:p>
            <w:pPr>
              <w:spacing w:after="0" w:before="0"/>
            </w:pPr>
            <w:r>
              <w:rPr>
                <w:rFonts w:ascii="Consolas" w:cs="Consolas" w:eastAsia="Consolas" w:hAnsi="Consolas"/>
                <w:color w:val="1F4E78"/>
                <w:sz w:val="18"/>
                <w:szCs w:val="18"/>
              </w:rPr>
              <w:t xml:space="preserve">       l.total_hqla - c.total_pledged AS unencumbered</w:t>
            </w:r>
          </w:p>
          <w:p>
            <w:pPr>
              <w:spacing w:after="0" w:before="0"/>
            </w:pPr>
            <w:r>
              <w:rPr>
                <w:rFonts w:ascii="Consolas" w:cs="Consolas" w:eastAsia="Consolas" w:hAnsi="Consolas"/>
                <w:color w:val="1F4E78"/>
                <w:sz w:val="18"/>
                <w:szCs w:val="18"/>
              </w:rPr>
              <w:t xml:space="preserve">FROM risk_warehouse.semantic.collateral_exposure_semantic_view c</w:t>
            </w:r>
          </w:p>
          <w:p>
            <w:pPr>
              <w:spacing w:after="0" w:before="0"/>
            </w:pPr>
            <w:r>
              <w:rPr>
                <w:rFonts w:ascii="Consolas" w:cs="Consolas" w:eastAsia="Consolas" w:hAnsi="Consolas"/>
                <w:color w:val="1F4E78"/>
                <w:sz w:val="18"/>
                <w:szCs w:val="18"/>
              </w:rPr>
              <w:t xml:space="preserve">JOIN risk_warehouse.semantic.lcr_buffer_semantic_view l</w:t>
            </w:r>
          </w:p>
          <w:p>
            <w:pPr>
              <w:spacing w:after="0" w:before="0"/>
            </w:pPr>
            <w:r>
              <w:rPr>
                <w:rFonts w:ascii="Consolas" w:cs="Consolas" w:eastAsia="Consolas" w:hAnsi="Consolas"/>
                <w:color w:val="1F4E78"/>
                <w:sz w:val="18"/>
                <w:szCs w:val="18"/>
              </w:rPr>
              <w:t xml:space="preserve">  ON c.business_date = l.business_date AND c.currency = l.currency</w:t>
            </w:r>
          </w:p>
          <w:p>
            <w:pPr>
              <w:spacing w:after="0" w:before="0"/>
            </w:pPr>
            <w:r>
              <w:rPr>
                <w:rFonts w:ascii="Consolas" w:cs="Consolas" w:eastAsia="Consolas" w:hAnsi="Consolas"/>
                <w:color w:val="1F4E78"/>
                <w:sz w:val="18"/>
                <w:szCs w:val="18"/>
              </w:rPr>
              <w:t xml:space="preserve">WHERE c.business_date = current_date();</w:t>
            </w:r>
          </w:p>
        </w:tc>
      </w:tr>
    </w:tbl>
    <w:p>
      <w:pPr>
        <w:spacing w:after="100" w:before="100"/>
      </w:pPr>
      <w:r>
        <w:rPr>
          <w:rFonts w:ascii="Calibri" w:cs="Calibri" w:eastAsia="Calibri" w:hAnsi="Calibri"/>
          <w:i/>
          <w:iCs/>
          <w:color w:val="595959"/>
          <w:sz w:val="22"/>
          <w:szCs w:val="22"/>
        </w:rPr>
        <w:t xml:space="preserve">Reverse-link from the data contract. The contract YAML carries pointers to the semantic-layer configuration and the sample queries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color="auto" w:val="clear"/>
            <w:tcMar>
              <w:top w:type="dxa" w:w="120"/>
              <w:left w:type="dxa" w:w="160"/>
              <w:bottom w:type="dxa" w:w="120"/>
              <w:right w:type="dxa" w:w="160"/>
            </w:tcMar>
          </w:tcPr>
          <w:p>
            <w:pPr>
              <w:spacing w:after="0" w:before="0"/>
            </w:pPr>
            <w:r>
              <w:rPr>
                <w:rFonts w:ascii="Consolas" w:cs="Consolas" w:eastAsia="Consolas" w:hAnsi="Consolas"/>
                <w:color w:val="1F4E78"/>
                <w:sz w:val="18"/>
                <w:szCs w:val="18"/>
              </w:rPr>
              <w:t xml:space="preserve">exploration:</w:t>
            </w:r>
          </w:p>
          <w:p>
            <w:pPr>
              <w:spacing w:after="0" w:before="0"/>
            </w:pPr>
            <w:r>
              <w:rPr>
                <w:rFonts w:ascii="Consolas" w:cs="Consolas" w:eastAsia="Consolas" w:hAnsi="Consolas"/>
                <w:color w:val="1F4E78"/>
                <w:sz w:val="18"/>
                <w:szCs w:val="18"/>
              </w:rPr>
              <w:t xml:space="preserve">  semantic_view: &lt;path or URL to the semantic-layer configuration&gt;</w:t>
            </w:r>
          </w:p>
          <w:p>
            <w:pPr>
              <w:spacing w:after="0" w:before="0"/>
            </w:pPr>
            <w:r>
              <w:rPr>
                <w:rFonts w:ascii="Consolas" w:cs="Consolas" w:eastAsia="Consolas" w:hAnsi="Consolas"/>
                <w:color w:val="1F4E78"/>
                <w:sz w:val="18"/>
                <w:szCs w:val="18"/>
              </w:rPr>
              <w:t xml:space="preserve">  sample_queries: &lt;URL to the Confluence page with sample queries&gt;</w:t>
            </w:r>
          </w:p>
        </w:tc>
      </w:tr>
    </w:tbl>
    <w:p>
      <w:pPr>
        <w:pStyle w:val="Heading2"/>
        <w:spacing w:after="140" w:before="280"/>
      </w:pPr>
      <w:r>
        <w:rPr>
          <w:b/>
          <w:bCs/>
          <w:color w:val="176B2C"/>
          <w:sz w:val="26"/>
          <w:szCs w:val="26"/>
        </w:rPr>
        <w:t xml:space="preserve">Where to go from here</w:t>
      </w:r>
    </w:p>
    <w:p>
      <w:pPr>
        <w:pStyle w:val="ListParagraph"/>
        <w:numPr>
          <w:ilvl w:val="0"/>
          <w:numId w:val="2"/>
        </w:numPr>
        <w:spacing w:after="50" w:before="50"/>
      </w:pPr>
      <w:r>
        <w:rPr>
          <w:sz w:val="22"/>
          <w:szCs w:val="22"/>
        </w:rPr>
        <w:t xml:space="preserve">Parent page: Data Modeling for Risk</w:t>
      </w:r>
    </w:p>
    <w:p>
      <w:pPr>
        <w:pStyle w:val="ListParagraph"/>
        <w:numPr>
          <w:ilvl w:val="0"/>
          <w:numId w:val="2"/>
        </w:numPr>
        <w:spacing w:after="50" w:before="50"/>
      </w:pPr>
      <w:r>
        <w:rPr>
          <w:sz w:val="22"/>
          <w:szCs w:val="22"/>
        </w:rPr>
        <w:t xml:space="preserve">UC Tag Standards (5.2) — for the full semantic.* tag inventory and inheritance rules</w:t>
      </w:r>
    </w:p>
    <w:p>
      <w:pPr>
        <w:pStyle w:val="ListParagraph"/>
        <w:numPr>
          <w:ilvl w:val="0"/>
          <w:numId w:val="2"/>
        </w:numPr>
        <w:spacing w:after="50" w:before="50"/>
      </w:pPr>
      <w:r>
        <w:rPr>
          <w:sz w:val="22"/>
          <w:szCs w:val="22"/>
        </w:rPr>
        <w:t xml:space="preserve">Data Contract Standard (4) — for the exploration block in the contract YAML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Risk Data — Operating Model &amp; Standards</w:t>
            </w:r>
          </w:p>
          <w:p>
            <w:r>
              <w:rPr>
                <w:b/>
                <w:bCs/>
                <w:color w:val="FFFFFF"/>
                <w:sz w:val="32"/>
                <w:szCs w:val="32"/>
              </w:rPr>
              <w:t xml:space="preserve">↳ 3. Naming Convention Standard</w:t>
            </w:r>
          </w:p>
        </w:tc>
      </w:tr>
    </w:tbl>
    <w:p>
      <w:pPr>
        <w:spacing w:after="280" w:before="100"/>
        <w:jc w:val="center"/>
      </w:pPr>
      <w:r>
        <w:rPr>
          <w:b/>
          <w:bCs/>
          <w:color w:val="176B2C"/>
          <w:sz w:val="40"/>
          <w:szCs w:val="40"/>
        </w:rPr>
        <w:t xml:space="preserve">Naming Convention Standard</w:t>
      </w:r>
    </w:p>
    <w:p>
      <w:pPr>
        <w:spacing w:after="280"/>
        <w:jc w:val="center"/>
      </w:pPr>
      <w:r>
        <w:rPr>
          <w:i/>
          <w:iCs/>
          <w:color w:val="595959"/>
          <w:sz w:val="22"/>
          <w:szCs w:val="22"/>
        </w:rPr>
        <w:t xml:space="preserve">Four name forms for risk data — business, physical, short, alias</w:t>
      </w:r>
    </w:p>
    <w:p>
      <w:pPr>
        <w:spacing w:after="100" w:before="100"/>
      </w:pPr>
      <w:r>
        <w:rPr>
          <w:rFonts w:ascii="Calibri" w:cs="Calibri" w:eastAsia="Calibri" w:hAnsi="Calibri"/>
          <w:i/>
          <w:iCs/>
          <w:color w:val="595959"/>
          <w:sz w:val="22"/>
          <w:szCs w:val="22"/>
        </w:rPr>
        <w:t xml:space="preserve">Authority. Risk Data Team defines the convention; Tech Product Owners are naming authority for their PG conformed schema; App Owners apply the convention to their app schemas.</w:t>
      </w:r>
    </w:p>
    <w:p>
      <w:pPr>
        <w:spacing w:after="100" w:before="100"/>
      </w:pPr>
      <w:r>
        <w:rPr>
          <w:rFonts w:ascii="Calibri" w:cs="Calibri" w:eastAsia="Calibri" w:hAnsi="Calibri"/>
          <w:i/>
          <w:iCs/>
          <w:color w:val="595959"/>
          <w:sz w:val="22"/>
          <w:szCs w:val="22"/>
        </w:rPr>
        <w:t xml:space="preserve">Companion artifacts. The naming derivation algorithm (Confluence subpage), the abbreviations dictionary (Confluence subpage), the per-column tag standards (UC Tag Standards page 5.2).</w:t>
      </w:r>
    </w:p>
    <w:p>
      <w:pPr>
        <w:pStyle w:val="Heading2"/>
        <w:spacing w:after="140" w:before="280"/>
      </w:pPr>
      <w:r>
        <w:rPr>
          <w:b/>
          <w:bCs/>
          <w:color w:val="176B2C"/>
          <w:sz w:val="26"/>
          <w:szCs w:val="26"/>
        </w:rPr>
        <w:t xml:space="preserve">Why this exists</w:t>
      </w:r>
    </w:p>
    <w:p>
      <w:pPr>
        <w:spacing w:after="100" w:before="100"/>
      </w:pPr>
      <w:r>
        <w:rPr>
          <w:rFonts w:ascii="Calibri" w:cs="Calibri" w:eastAsia="Calibri" w:hAnsi="Calibri"/>
          <w:sz w:val="22"/>
          <w:szCs w:val="22"/>
        </w:rPr>
        <w:t xml:space="preserve">Risk data lands in Databricks from many source applications, each with its own naming style — XVALA's cpIntRtg, CMOS's internal_rating_cd, REGDS's ctp_irating all refer to the same conceptual attribute. Without a convention, every consumer has to learn every app's vocabulary. With a convention, the conformed schema speaks one language and apps preserve their native names as aliases.</w:t>
      </w:r>
    </w:p>
    <w:p>
      <w:pPr>
        <w:pStyle w:val="Heading2"/>
        <w:spacing w:after="140" w:before="280"/>
      </w:pPr>
      <w:r>
        <w:rPr>
          <w:b/>
          <w:bCs/>
          <w:color w:val="176B2C"/>
          <w:sz w:val="26"/>
          <w:szCs w:val="26"/>
        </w:rPr>
        <w:t xml:space="preserve">The four name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Form</w:t>
            </w:r>
          </w:p>
        </w:tc>
        <w:tc>
          <w:tcPr>
            <w:tcW w:type="dxa" w:w="48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Purpose</w:t>
            </w:r>
          </w:p>
        </w:tc>
        <w:tc>
          <w:tcPr>
            <w:tcW w:type="dxa" w:w="30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Example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Business name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Plain-English label as a business analyst would say it. Goes on dashboards, reports, glossary entries.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Counterparty Internal Rating</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Physical name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The literal column / table name as it exists in Databricks. Snake_case, lowercase, no abbreviations except a small approved set.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counterparty_internal_rating</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Short name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Derived abbreviated form, used only where space is constrained (e.g. dashboards with 30+ columns). Most columns don't need one.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cp_int_rtg</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Alias</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Multi-value: the original source-app column names that map to this canonical column. Preserved so reverse-engineering from legacy reports stays possible.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xvala:cpIntRtg, cmos:internal_rating_cd, regds:ctp_irating</w:t>
            </w:r>
          </w:p>
        </w:tc>
      </w:tr>
    </w:tbl>
    <w:p>
      <w:pPr>
        <w:spacing w:after="160"/>
      </w:pPr>
      <w:r>
        <w:t xml:space="preserve"> </w:t>
      </w:r>
    </w:p>
    <w:p>
      <w:pPr>
        <w:pStyle w:val="Heading2"/>
        <w:spacing w:after="140" w:before="280"/>
      </w:pPr>
      <w:r>
        <w:rPr>
          <w:b/>
          <w:bCs/>
          <w:color w:val="176B2C"/>
          <w:sz w:val="26"/>
          <w:szCs w:val="26"/>
        </w:rPr>
        <w:t xml:space="preserve">Derivation algorithm</w:t>
      </w:r>
    </w:p>
    <w:p>
      <w:pPr>
        <w:spacing w:after="100" w:before="100"/>
      </w:pPr>
      <w:r>
        <w:rPr>
          <w:rFonts w:ascii="Calibri" w:cs="Calibri" w:eastAsia="Calibri" w:hAnsi="Calibri"/>
          <w:sz w:val="22"/>
          <w:szCs w:val="22"/>
        </w:rPr>
        <w:t xml:space="preserve">Physical name is derived from business name:</w:t>
      </w:r>
    </w:p>
    <w:p>
      <w:pPr>
        <w:pStyle w:val="ListParagraph"/>
        <w:numPr>
          <w:ilvl w:val="0"/>
          <w:numId w:val="2"/>
        </w:numPr>
        <w:spacing w:after="50" w:before="50"/>
      </w:pPr>
      <w:r>
        <w:rPr>
          <w:sz w:val="22"/>
          <w:szCs w:val="22"/>
        </w:rPr>
        <w:t xml:space="preserve">Lowercase the business name</w:t>
      </w:r>
    </w:p>
    <w:p>
      <w:pPr>
        <w:pStyle w:val="ListParagraph"/>
        <w:numPr>
          <w:ilvl w:val="0"/>
          <w:numId w:val="2"/>
        </w:numPr>
        <w:spacing w:after="50" w:before="50"/>
      </w:pPr>
      <w:r>
        <w:rPr>
          <w:sz w:val="22"/>
          <w:szCs w:val="22"/>
        </w:rPr>
        <w:t xml:space="preserve">Replace spaces with underscores</w:t>
      </w:r>
    </w:p>
    <w:p>
      <w:pPr>
        <w:pStyle w:val="ListParagraph"/>
        <w:numPr>
          <w:ilvl w:val="0"/>
          <w:numId w:val="2"/>
        </w:numPr>
        <w:spacing w:after="50" w:before="50"/>
      </w:pPr>
      <w:r>
        <w:rPr>
          <w:sz w:val="22"/>
          <w:szCs w:val="22"/>
        </w:rPr>
        <w:t xml:space="preserve">Expand approved abbreviations (the abbreviations dictionary subpage lists every approved abbreviation)</w:t>
      </w:r>
    </w:p>
    <w:p>
      <w:pPr>
        <w:pStyle w:val="ListParagraph"/>
        <w:numPr>
          <w:ilvl w:val="0"/>
          <w:numId w:val="2"/>
        </w:numPr>
        <w:spacing w:after="50" w:before="50"/>
      </w:pPr>
      <w:r>
        <w:rPr>
          <w:sz w:val="22"/>
          <w:szCs w:val="22"/>
        </w:rPr>
        <w:t xml:space="preserve">Strip punctuation</w:t>
      </w:r>
    </w:p>
    <w:p>
      <w:pPr>
        <w:pStyle w:val="ListParagraph"/>
        <w:numPr>
          <w:ilvl w:val="0"/>
          <w:numId w:val="2"/>
        </w:numPr>
        <w:spacing w:after="50" w:before="50"/>
      </w:pPr>
      <w:r>
        <w:rPr>
          <w:sz w:val="22"/>
          <w:szCs w:val="22"/>
        </w:rPr>
        <w:t xml:space="preserve">Resolve any conflicts manually (Tech Product Owner is the arbiter at PG-conformed level)</w:t>
      </w:r>
    </w:p>
    <w:p>
      <w:pPr>
        <w:spacing w:after="100" w:before="100"/>
      </w:pPr>
      <w:r>
        <w:rPr>
          <w:rFonts w:ascii="Calibri" w:cs="Calibri" w:eastAsia="Calibri" w:hAnsi="Calibri"/>
          <w:sz w:val="22"/>
          <w:szCs w:val="22"/>
        </w:rPr>
        <w:t xml:space="preserve">Short name (when needed) is derived from physical name using the abbreviation rules in reverse — drop vowels in long words, apply approved short forms (cp for counterparty, int for internal, rtg for rating).</w:t>
      </w:r>
    </w:p>
    <w:p>
      <w:pPr>
        <w:spacing w:after="100" w:before="100"/>
      </w:pPr>
      <w:r>
        <w:rPr>
          <w:rFonts w:ascii="Calibri" w:cs="Calibri" w:eastAsia="Calibri" w:hAnsi="Calibri"/>
          <w:sz w:val="22"/>
          <w:szCs w:val="22"/>
        </w:rPr>
        <w:t xml:space="preserve">Alias is recorded directly. When conformance is wired up between an app schema and the conformed schema, the engineer records the source-app column name as 'app:colname' on the canonical column. Multiple apps mapping to the same canonical column produce a multi-value alias.</w:t>
      </w:r>
    </w:p>
    <w:p>
      <w:pPr>
        <w:pStyle w:val="Heading2"/>
        <w:spacing w:after="140" w:before="280"/>
      </w:pPr>
      <w:r>
        <w:rPr>
          <w:b/>
          <w:bCs/>
          <w:color w:val="176B2C"/>
          <w:sz w:val="26"/>
          <w:szCs w:val="26"/>
        </w:rPr>
        <w:t xml:space="preserve">UC tags carrying these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Tag</w:t>
            </w:r>
          </w:p>
        </w:tc>
        <w:tc>
          <w:tcPr>
            <w:tcW w:type="dxa" w:w="35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Value</w:t>
            </w:r>
          </w:p>
        </w:tc>
        <w:tc>
          <w:tcPr>
            <w:tcW w:type="dxa" w:w="28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Notes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identity.business_name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Plain-English business name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Set on the canonical column at conformance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identity.short_name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Abbreviated form (when needed)</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Optional; most columns don't need one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identity.alias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Multi-value: app:colname entries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Authored by the engineer at conformance</w:t>
            </w:r>
          </w:p>
        </w:tc>
      </w:tr>
    </w:tbl>
    <w:p>
      <w:pPr>
        <w:spacing w:after="160"/>
      </w:pPr>
      <w:r>
        <w:t xml:space="preserve"> </w:t>
      </w:r>
    </w:p>
    <w:p>
      <w:pPr>
        <w:spacing w:after="100" w:before="100"/>
      </w:pPr>
      <w:r>
        <w:rPr>
          <w:rFonts w:ascii="Calibri" w:cs="Calibri" w:eastAsia="Calibri" w:hAnsi="Calibri"/>
          <w:i/>
          <w:iCs/>
          <w:color w:val="595959"/>
          <w:sz w:val="22"/>
          <w:szCs w:val="22"/>
        </w:rPr>
        <w:t xml:space="preserve">Why the identity.* namespace. Earlier versions used bare tag keys (business_name, short_name, aliases). Renamed to identity.* for consistency with the dotted-namespace convention used elsewhere (class.*, owner.*, source.*, etc.). The identity.* namespace groups all three together with a clear meaning: the names by which this thing is known.</w:t>
      </w:r>
    </w:p>
    <w:p>
      <w:pPr>
        <w:pStyle w:val="Heading2"/>
        <w:spacing w:after="140" w:before="280"/>
      </w:pPr>
      <w:r>
        <w:rPr>
          <w:b/>
          <w:bCs/>
          <w:color w:val="176B2C"/>
          <w:sz w:val="26"/>
          <w:szCs w:val="26"/>
        </w:rPr>
        <w:t xml:space="preserve">Reverse lookup — find a canonical column by source-app name</w:t>
      </w:r>
    </w:p>
    <w:p>
      <w:pPr>
        <w:spacing w:after="100" w:before="100"/>
      </w:pPr>
      <w:r>
        <w:rPr>
          <w:rFonts w:ascii="Calibri" w:cs="Calibri" w:eastAsia="Calibri" w:hAnsi="Calibri"/>
          <w:sz w:val="22"/>
          <w:szCs w:val="22"/>
        </w:rPr>
        <w:t xml:space="preserve">To find the conformed column that an app's native column maps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color="auto" w:val="clear"/>
            <w:tcMar>
              <w:top w:type="dxa" w:w="120"/>
              <w:left w:type="dxa" w:w="160"/>
              <w:bottom w:type="dxa" w:w="120"/>
              <w:right w:type="dxa" w:w="160"/>
            </w:tcMar>
          </w:tcPr>
          <w:p>
            <w:pPr>
              <w:spacing w:after="0" w:before="0"/>
            </w:pPr>
            <w:r>
              <w:rPr>
                <w:rFonts w:ascii="Consolas" w:cs="Consolas" w:eastAsia="Consolas" w:hAnsi="Consolas"/>
                <w:color w:val="1F4E78"/>
                <w:sz w:val="18"/>
                <w:szCs w:val="18"/>
              </w:rPr>
              <w:t xml:space="preserve">SELECT</w:t>
            </w:r>
          </w:p>
          <w:p>
            <w:pPr>
              <w:spacing w:after="0" w:before="0"/>
            </w:pPr>
            <w:r>
              <w:rPr>
                <w:rFonts w:ascii="Consolas" w:cs="Consolas" w:eastAsia="Consolas" w:hAnsi="Consolas"/>
                <w:color w:val="1F4E78"/>
                <w:sz w:val="18"/>
                <w:szCs w:val="18"/>
              </w:rPr>
              <w:t xml:space="preserve">  table_catalog,</w:t>
            </w:r>
          </w:p>
          <w:p>
            <w:pPr>
              <w:spacing w:after="0" w:before="0"/>
            </w:pPr>
            <w:r>
              <w:rPr>
                <w:rFonts w:ascii="Consolas" w:cs="Consolas" w:eastAsia="Consolas" w:hAnsi="Consolas"/>
                <w:color w:val="1F4E78"/>
                <w:sz w:val="18"/>
                <w:szCs w:val="18"/>
              </w:rPr>
              <w:t xml:space="preserve">  table_schema,</w:t>
            </w:r>
          </w:p>
          <w:p>
            <w:pPr>
              <w:spacing w:after="0" w:before="0"/>
            </w:pPr>
            <w:r>
              <w:rPr>
                <w:rFonts w:ascii="Consolas" w:cs="Consolas" w:eastAsia="Consolas" w:hAnsi="Consolas"/>
                <w:color w:val="1F4E78"/>
                <w:sz w:val="18"/>
                <w:szCs w:val="18"/>
              </w:rPr>
              <w:t xml:space="preserve">  table_name,</w:t>
            </w:r>
          </w:p>
          <w:p>
            <w:pPr>
              <w:spacing w:after="0" w:before="0"/>
            </w:pPr>
            <w:r>
              <w:rPr>
                <w:rFonts w:ascii="Consolas" w:cs="Consolas" w:eastAsia="Consolas" w:hAnsi="Consolas"/>
                <w:color w:val="1F4E78"/>
                <w:sz w:val="18"/>
                <w:szCs w:val="18"/>
              </w:rPr>
              <w:t xml:space="preserve">  column_name</w:t>
            </w:r>
          </w:p>
          <w:p>
            <w:pPr>
              <w:spacing w:after="0" w:before="0"/>
            </w:pPr>
            <w:r>
              <w:rPr>
                <w:rFonts w:ascii="Consolas" w:cs="Consolas" w:eastAsia="Consolas" w:hAnsi="Consolas"/>
                <w:color w:val="1F4E78"/>
                <w:sz w:val="18"/>
                <w:szCs w:val="18"/>
              </w:rPr>
              <w:t xml:space="preserve">FROM system.information_schema.column_tags</w:t>
            </w:r>
          </w:p>
          <w:p>
            <w:pPr>
              <w:spacing w:after="0" w:before="0"/>
            </w:pPr>
            <w:r>
              <w:rPr>
                <w:rFonts w:ascii="Consolas" w:cs="Consolas" w:eastAsia="Consolas" w:hAnsi="Consolas"/>
                <w:color w:val="1F4E78"/>
                <w:sz w:val="18"/>
                <w:szCs w:val="18"/>
              </w:rPr>
              <w:t xml:space="preserve">WHERE tag_name = 'identity.alias'</w:t>
            </w:r>
          </w:p>
          <w:p>
            <w:pPr>
              <w:spacing w:after="0" w:before="0"/>
            </w:pPr>
            <w:r>
              <w:rPr>
                <w:rFonts w:ascii="Consolas" w:cs="Consolas" w:eastAsia="Consolas" w:hAnsi="Consolas"/>
                <w:color w:val="1F4E78"/>
                <w:sz w:val="18"/>
                <w:szCs w:val="18"/>
              </w:rPr>
              <w:t xml:space="preserve">  AND tag_value LIKE '%xvala:cpIntRtg%';</w:t>
            </w:r>
          </w:p>
        </w:tc>
      </w:tr>
    </w:tbl>
    <w:p>
      <w:pPr>
        <w:pStyle w:val="Heading2"/>
        <w:spacing w:after="140" w:before="280"/>
      </w:pPr>
      <w:r>
        <w:rPr>
          <w:b/>
          <w:bCs/>
          <w:color w:val="176B2C"/>
          <w:sz w:val="26"/>
          <w:szCs w:val="26"/>
        </w:rPr>
        <w:t xml:space="preserve">Where to go from here</w:t>
      </w:r>
    </w:p>
    <w:p>
      <w:pPr>
        <w:pStyle w:val="ListParagraph"/>
        <w:numPr>
          <w:ilvl w:val="0"/>
          <w:numId w:val="2"/>
        </w:numPr>
        <w:spacing w:after="50" w:before="50"/>
      </w:pPr>
      <w:r>
        <w:rPr>
          <w:sz w:val="22"/>
          <w:szCs w:val="22"/>
        </w:rPr>
        <w:t xml:space="preserve">UC Tag Standards (5.2) — for the full column-level tag inventory</w:t>
      </w:r>
    </w:p>
    <w:p>
      <w:pPr>
        <w:pStyle w:val="ListParagraph"/>
        <w:numPr>
          <w:ilvl w:val="0"/>
          <w:numId w:val="2"/>
        </w:numPr>
        <w:spacing w:after="50" w:before="50"/>
      </w:pPr>
      <w:r>
        <w:rPr>
          <w:sz w:val="22"/>
          <w:szCs w:val="22"/>
        </w:rPr>
        <w:t xml:space="preserve">Schema &amp; Catalog Design (5.1) — for the catalog and schema naming conventions</w:t>
      </w:r>
    </w:p>
    <w:p>
      <w:pPr>
        <w:pStyle w:val="ListParagraph"/>
        <w:numPr>
          <w:ilvl w:val="0"/>
          <w:numId w:val="2"/>
        </w:numPr>
        <w:spacing w:after="50" w:before="50"/>
      </w:pPr>
      <w:r>
        <w:rPr>
          <w:sz w:val="22"/>
          <w:szCs w:val="22"/>
        </w:rPr>
        <w:t xml:space="preserve">Data Contract Standard (4) — contracts reference these names in their column_descriptions block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Risk Data — Operating Model &amp; Standards</w:t>
            </w:r>
          </w:p>
          <w:p>
            <w:r>
              <w:rPr>
                <w:b/>
                <w:bCs/>
                <w:color w:val="FFFFFF"/>
                <w:sz w:val="32"/>
                <w:szCs w:val="32"/>
              </w:rPr>
              <w:t xml:space="preserve">↳ 4. Data Contract Standard</w:t>
            </w:r>
          </w:p>
        </w:tc>
      </w:tr>
    </w:tbl>
    <w:p>
      <w:pPr>
        <w:spacing w:after="280" w:before="100"/>
        <w:jc w:val="center"/>
      </w:pPr>
      <w:r>
        <w:rPr>
          <w:b/>
          <w:bCs/>
          <w:color w:val="176B2C"/>
          <w:sz w:val="40"/>
          <w:szCs w:val="40"/>
        </w:rPr>
        <w:t xml:space="preserve">Data Contract Standard</w:t>
      </w:r>
    </w:p>
    <w:p>
      <w:pPr>
        <w:spacing w:after="280"/>
        <w:jc w:val="center"/>
      </w:pPr>
      <w:r>
        <w:rPr>
          <w:i/>
          <w:iCs/>
          <w:color w:val="595959"/>
          <w:sz w:val="22"/>
          <w:szCs w:val="22"/>
        </w:rPr>
        <w:t xml:space="preserve">What a data contract is, who authors it, how it evolves</w:t>
      </w:r>
    </w:p>
    <w:p>
      <w:pPr>
        <w:spacing w:after="100" w:before="100"/>
      </w:pPr>
      <w:r>
        <w:rPr>
          <w:rFonts w:ascii="Calibri" w:cs="Calibri" w:eastAsia="Calibri" w:hAnsi="Calibri"/>
          <w:i/>
          <w:iCs/>
          <w:color w:val="595959"/>
          <w:sz w:val="22"/>
          <w:szCs w:val="22"/>
        </w:rPr>
        <w:t xml:space="preserve">Authority. Risk Data Team owns the contract standard. Data Product Owners author contracts. Tech Product Owners and Risk Data Team review and approve.</w:t>
      </w:r>
    </w:p>
    <w:p>
      <w:pPr>
        <w:spacing w:after="100" w:before="100"/>
      </w:pPr>
      <w:r>
        <w:rPr>
          <w:rFonts w:ascii="Calibri" w:cs="Calibri" w:eastAsia="Calibri" w:hAnsi="Calibri"/>
          <w:i/>
          <w:iCs/>
          <w:color w:val="595959"/>
          <w:sz w:val="22"/>
          <w:szCs w:val="22"/>
        </w:rPr>
        <w:t xml:space="preserve">Companion artifacts. The contract YAML template (data_contract_template_v6_1.yaml), the attribute spec (data_contract_attribute_spec_v6_1.xlsx). Both on the Operating Model &amp; Standards landing page.</w:t>
      </w:r>
    </w:p>
    <w:p>
      <w:pPr>
        <w:pStyle w:val="Heading2"/>
        <w:spacing w:after="140" w:before="280"/>
      </w:pPr>
      <w:r>
        <w:rPr>
          <w:b/>
          <w:bCs/>
          <w:color w:val="176B2C"/>
          <w:sz w:val="26"/>
          <w:szCs w:val="26"/>
        </w:rPr>
        <w:t xml:space="preserve">What a data contract is</w:t>
      </w:r>
    </w:p>
    <w:p>
      <w:pPr>
        <w:spacing w:after="100" w:before="100"/>
      </w:pPr>
      <w:r>
        <w:rPr>
          <w:rFonts w:ascii="Calibri" w:cs="Calibri" w:eastAsia="Calibri" w:hAnsi="Calibri"/>
          <w:sz w:val="22"/>
          <w:szCs w:val="22"/>
        </w:rPr>
        <w:t xml:space="preserve">A data contract is the durable expression of a data product. It is a YAML file in Git that captures everything a consumer needs to know to use the product safely: what the product is, who owns it, what grain it sits at, what measures and dimensions it carries, how often it refreshes, what quality rules apply, who consumes it, and how it evolves over time.</w:t>
      </w:r>
    </w:p>
    <w:p>
      <w:pPr>
        <w:spacing w:after="100" w:before="100"/>
      </w:pPr>
      <w:r>
        <w:rPr>
          <w:rFonts w:ascii="Calibri" w:cs="Calibri" w:eastAsia="Calibri" w:hAnsi="Calibri"/>
          <w:sz w:val="22"/>
          <w:szCs w:val="22"/>
        </w:rPr>
        <w:t xml:space="preserve">The contract serves three audiences simultaneously: consumers (so they can build on the product knowing what to expect), governance (so the product is auditable and compliant), and the platform (so UC tags, Collibra entries, and lineage signals can be derived from one source).</w:t>
      </w:r>
    </w:p>
    <w:p>
      <w:pPr>
        <w:pStyle w:val="Heading2"/>
        <w:spacing w:after="140" w:before="280"/>
      </w:pPr>
      <w:r>
        <w:rPr>
          <w:b/>
          <w:bCs/>
          <w:color w:val="176B2C"/>
          <w:sz w:val="26"/>
          <w:szCs w:val="26"/>
        </w:rPr>
        <w:t xml:space="preserve">The contract lifecycle</w:t>
      </w:r>
    </w:p>
    <w:p>
      <w:pPr>
        <w:spacing w:after="100" w:before="100"/>
      </w:pPr>
      <w:r>
        <w:rPr>
          <w:rFonts w:ascii="Calibri" w:cs="Calibri" w:eastAsia="Calibri" w:hAnsi="Calibri"/>
          <w:sz w:val="22"/>
          <w:szCs w:val="22"/>
        </w:rPr>
        <w:t xml:space="preserve">A contract goes through three phases. Each has its own child page under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60"/>
        <w:gridCol w:w="2300"/>
      </w:tblGrid>
      <w:tr>
        <w:trPr>
          <w:tblHeader/>
        </w:trPr>
        <w:tc>
          <w:tcPr>
            <w:tcW w:type="dxa" w:w="18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Phase</w:t>
            </w:r>
          </w:p>
        </w:tc>
        <w:tc>
          <w:tcPr>
            <w:tcW w:type="dxa" w:w="52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What happens</w:t>
            </w:r>
          </w:p>
        </w:tc>
        <w:tc>
          <w:tcPr>
            <w:tcW w:type="dxa" w:w="23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Child page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Intake</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Business raises a need. Data Product Owner translates into a product spec. Initial contract is drafted.</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4.1 Intake Process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Active life</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is published. Product is built, deployed, consumed. Contract is the source of truth for everything about the product.</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(this page)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Change</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Product evolves. Contract version increments. Change history grows. Consumers are notified per the change policy.</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4.2 Change Management</w:t>
            </w:r>
          </w:p>
        </w:tc>
      </w:tr>
    </w:tbl>
    <w:p>
      <w:pPr>
        <w:spacing w:after="160"/>
      </w:pPr>
      <w:r>
        <w:t xml:space="preserve"> </w:t>
      </w:r>
    </w:p>
    <w:p>
      <w:pPr>
        <w:pStyle w:val="Heading2"/>
        <w:spacing w:after="140" w:before="280"/>
      </w:pPr>
      <w:r>
        <w:rPr>
          <w:b/>
          <w:bCs/>
          <w:color w:val="176B2C"/>
          <w:sz w:val="26"/>
          <w:szCs w:val="26"/>
        </w:rPr>
        <w:t xml:space="preserve">The attribute spec</w:t>
      </w:r>
    </w:p>
    <w:p>
      <w:pPr>
        <w:spacing w:after="100" w:before="100"/>
      </w:pPr>
      <w:r>
        <w:rPr>
          <w:rFonts w:ascii="Calibri" w:cs="Calibri" w:eastAsia="Calibri" w:hAnsi="Calibri"/>
          <w:sz w:val="22"/>
          <w:szCs w:val="22"/>
        </w:rPr>
        <w:t xml:space="preserve">Every attribute in the contract is documented in the Data Contract Attribute Spec (downloadable from the Operating Model &amp; Standards landing page). The spec lists every attribute with:</w:t>
      </w:r>
    </w:p>
    <w:p>
      <w:pPr>
        <w:pStyle w:val="ListParagraph"/>
        <w:numPr>
          <w:ilvl w:val="0"/>
          <w:numId w:val="2"/>
        </w:numPr>
        <w:spacing w:after="50" w:before="50"/>
      </w:pPr>
      <w:r>
        <w:rPr>
          <w:sz w:val="22"/>
          <w:szCs w:val="22"/>
        </w:rPr>
        <w:t xml:space="preserve">Category — IDENTITY, DESCRIPTION, GRAIN &amp; SHAPE, MEASURES, OPERATIONAL, CLASSIFICATION, LINEAGE, CONSUMERS, REFERENCE DEPENDENCIES, COMPOSABILITY, CURRENCY HANDLING, KNOWN ISSUES, QUALITY, EXPLORATION, REFERENCES — CROSS-LINKS</w:t>
      </w:r>
    </w:p>
    <w:p>
      <w:pPr>
        <w:pStyle w:val="ListParagraph"/>
        <w:numPr>
          <w:ilvl w:val="0"/>
          <w:numId w:val="2"/>
        </w:numPr>
        <w:spacing w:after="50" w:before="50"/>
      </w:pPr>
      <w:r>
        <w:rPr>
          <w:sz w:val="22"/>
          <w:szCs w:val="22"/>
        </w:rPr>
        <w:t xml:space="preserve">Required? — yes / no / conditional</w:t>
      </w:r>
    </w:p>
    <w:p>
      <w:pPr>
        <w:pStyle w:val="ListParagraph"/>
        <w:numPr>
          <w:ilvl w:val="0"/>
          <w:numId w:val="2"/>
        </w:numPr>
        <w:spacing w:after="50" w:before="50"/>
      </w:pPr>
      <w:r>
        <w:rPr>
          <w:sz w:val="22"/>
          <w:szCs w:val="22"/>
        </w:rPr>
        <w:t xml:space="preserve">Filled by — Data Product Owner, Engineer, CI, Author</w:t>
      </w:r>
    </w:p>
    <w:p>
      <w:pPr>
        <w:pStyle w:val="ListParagraph"/>
        <w:numPr>
          <w:ilvl w:val="0"/>
          <w:numId w:val="2"/>
        </w:numPr>
        <w:spacing w:after="50" w:before="50"/>
      </w:pPr>
      <w:r>
        <w:rPr>
          <w:sz w:val="22"/>
          <w:szCs w:val="22"/>
        </w:rPr>
        <w:t xml:space="preserve">UC tag key — where the attribute surfaces as a Unity Catalog tag (if it does)</w:t>
      </w:r>
    </w:p>
    <w:p>
      <w:pPr>
        <w:pStyle w:val="ListParagraph"/>
        <w:numPr>
          <w:ilvl w:val="0"/>
          <w:numId w:val="2"/>
        </w:numPr>
        <w:spacing w:after="50" w:before="50"/>
      </w:pPr>
      <w:r>
        <w:rPr>
          <w:sz w:val="22"/>
          <w:szCs w:val="22"/>
        </w:rPr>
        <w:t xml:space="preserve">Notes — examples, allowed values, gotchas</w:t>
      </w:r>
    </w:p>
    <w:p>
      <w:pPr>
        <w:spacing w:after="100" w:before="100"/>
      </w:pPr>
      <w:r>
        <w:rPr>
          <w:rFonts w:ascii="Calibri" w:cs="Calibri" w:eastAsia="Calibri" w:hAnsi="Calibri"/>
          <w:sz w:val="22"/>
          <w:szCs w:val="22"/>
        </w:rPr>
        <w:t xml:space="preserve">Use the spec when authoring a new contract — filter the Category column to focus on one section at a time.</w:t>
      </w:r>
    </w:p>
    <w:p>
      <w:pPr>
        <w:pStyle w:val="Heading2"/>
        <w:spacing w:after="140" w:before="280"/>
      </w:pPr>
      <w:r>
        <w:rPr>
          <w:b/>
          <w:bCs/>
          <w:color w:val="176B2C"/>
          <w:sz w:val="26"/>
          <w:szCs w:val="26"/>
        </w:rPr>
        <w:t xml:space="preserve">Composition — most blocks aren't authored from scratch</w:t>
      </w:r>
    </w:p>
    <w:p>
      <w:pPr>
        <w:spacing w:after="100" w:before="100"/>
      </w:pPr>
      <w:r>
        <w:rPr>
          <w:rFonts w:ascii="Calibri" w:cs="Calibri" w:eastAsia="Calibri" w:hAnsi="Calibri"/>
          <w:sz w:val="22"/>
          <w:szCs w:val="22"/>
        </w:rPr>
        <w:t xml:space="preserve">Most of the contract is composed from upstream artifacts, not authored from scratch. The grain, dimensions, and measures come from the semantic layer. Naming comes from the Naming Convention output. Classification and ownership come from app-layer tags (inherited via CI). Upstream lineage comes from UC observed lineage. Quality constraints come from Erwin / PowerDesigner. Change history comes from Jira and Git.</w:t>
      </w:r>
    </w:p>
    <w:p>
      <w:pPr>
        <w:spacing w:after="100" w:before="100"/>
      </w:pPr>
      <w:r>
        <w:rPr>
          <w:rFonts w:ascii="Calibri" w:cs="Calibri" w:eastAsia="Calibri" w:hAnsi="Calibri"/>
          <w:sz w:val="22"/>
          <w:szCs w:val="22"/>
        </w:rPr>
        <w:t xml:space="preserve">A few blocks are authored directly in the contract — the business description, the use-case context from intake, the manual approvals on change history. Everything else is automation.</w:t>
      </w:r>
    </w:p>
    <w:p>
      <w:pPr>
        <w:spacing w:after="100" w:before="100"/>
      </w:pPr>
      <w:r>
        <w:rPr>
          <w:rFonts w:ascii="Calibri" w:cs="Calibri" w:eastAsia="Calibri" w:hAnsi="Calibri"/>
          <w:i/>
          <w:iCs/>
          <w:color w:val="595959"/>
          <w:sz w:val="22"/>
          <w:szCs w:val="22"/>
        </w:rPr>
        <w:t xml:space="preserve">See slide 11 in the Data Modeling deck for the composition flow diagram.</w:t>
      </w:r>
    </w:p>
    <w:p>
      <w:pPr>
        <w:pStyle w:val="Heading2"/>
        <w:spacing w:after="140" w:before="280"/>
      </w:pPr>
      <w:r>
        <w:rPr>
          <w:b/>
          <w:bCs/>
          <w:color w:val="176B2C"/>
          <w:sz w:val="26"/>
          <w:szCs w:val="26"/>
        </w:rPr>
        <w:t xml:space="preserve">Where to go from here</w:t>
      </w:r>
    </w:p>
    <w:p>
      <w:pPr>
        <w:pStyle w:val="ListParagraph"/>
        <w:numPr>
          <w:ilvl w:val="0"/>
          <w:numId w:val="2"/>
        </w:numPr>
        <w:spacing w:after="50" w:before="50"/>
      </w:pPr>
      <w:r>
        <w:rPr>
          <w:sz w:val="22"/>
          <w:szCs w:val="22"/>
        </w:rPr>
        <w:t xml:space="preserve">4.1 Intake Process — the form and workflow that triggers a new contract</w:t>
      </w:r>
    </w:p>
    <w:p>
      <w:pPr>
        <w:pStyle w:val="ListParagraph"/>
        <w:numPr>
          <w:ilvl w:val="0"/>
          <w:numId w:val="2"/>
        </w:numPr>
        <w:spacing w:after="50" w:before="50"/>
      </w:pPr>
      <w:r>
        <w:rPr>
          <w:sz w:val="22"/>
          <w:szCs w:val="22"/>
        </w:rPr>
        <w:t xml:space="preserve">4.2 Change Management — how the contract evolves over time</w:t>
      </w:r>
    </w:p>
    <w:p>
      <w:pPr>
        <w:pStyle w:val="ListParagraph"/>
        <w:numPr>
          <w:ilvl w:val="0"/>
          <w:numId w:val="2"/>
        </w:numPr>
        <w:spacing w:after="50" w:before="50"/>
      </w:pPr>
      <w:r>
        <w:rPr>
          <w:sz w:val="22"/>
          <w:szCs w:val="22"/>
        </w:rPr>
        <w:t xml:space="preserve">Naming Convention Standard (3) — for column and table names referenced in contracts</w:t>
      </w:r>
    </w:p>
    <w:p>
      <w:pPr>
        <w:pStyle w:val="ListParagraph"/>
        <w:numPr>
          <w:ilvl w:val="0"/>
          <w:numId w:val="2"/>
        </w:numPr>
        <w:spacing w:after="50" w:before="50"/>
      </w:pPr>
      <w:r>
        <w:rPr>
          <w:sz w:val="22"/>
          <w:szCs w:val="22"/>
        </w:rPr>
        <w:t xml:space="preserve">Semantic Layer Standard (2.1) — for the measures, dimensions, and aggregations referenced in contracts</w:t>
      </w:r>
    </w:p>
    <w:p>
      <w:pPr>
        <w:pStyle w:val="ListParagraph"/>
        <w:numPr>
          <w:ilvl w:val="0"/>
          <w:numId w:val="2"/>
        </w:numPr>
        <w:spacing w:after="50" w:before="50"/>
      </w:pPr>
      <w:r>
        <w:rPr>
          <w:sz w:val="22"/>
          <w:szCs w:val="22"/>
        </w:rPr>
        <w:t xml:space="preserve">Authoring Flows (6) — who is the source of truth for which contract attributes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4. Data Contract Standard</w:t>
            </w:r>
          </w:p>
          <w:p>
            <w:r>
              <w:rPr>
                <w:b/>
                <w:bCs/>
                <w:color w:val="FFFFFF"/>
                <w:sz w:val="32"/>
                <w:szCs w:val="32"/>
              </w:rPr>
              <w:t xml:space="preserve">↳ 4.1 Intake Process</w:t>
            </w:r>
          </w:p>
        </w:tc>
      </w:tr>
    </w:tbl>
    <w:p>
      <w:pPr>
        <w:spacing w:after="280" w:before="100"/>
        <w:jc w:val="center"/>
      </w:pPr>
      <w:r>
        <w:rPr>
          <w:b/>
          <w:bCs/>
          <w:color w:val="176B2C"/>
          <w:sz w:val="40"/>
          <w:szCs w:val="40"/>
        </w:rPr>
        <w:t xml:space="preserve">Intake Process</w:t>
      </w:r>
    </w:p>
    <w:p>
      <w:pPr>
        <w:spacing w:after="280"/>
        <w:jc w:val="center"/>
      </w:pPr>
      <w:r>
        <w:rPr>
          <w:i/>
          <w:iCs/>
          <w:color w:val="595959"/>
          <w:sz w:val="22"/>
          <w:szCs w:val="22"/>
        </w:rPr>
        <w:t xml:space="preserve">How a business need becomes a data product</w:t>
      </w:r>
    </w:p>
    <w:p>
      <w:pPr>
        <w:spacing w:after="100" w:before="100"/>
      </w:pPr>
      <w:r>
        <w:rPr>
          <w:rFonts w:ascii="Calibri" w:cs="Calibri" w:eastAsia="Calibri" w:hAnsi="Calibri"/>
          <w:i/>
          <w:iCs/>
          <w:color w:val="595959"/>
          <w:sz w:val="22"/>
          <w:szCs w:val="22"/>
        </w:rPr>
        <w:t xml:space="preserve">Authority. Risk Data Team owns the intake process. Data Product Owners receive intakes and translate them into contracts.</w:t>
      </w:r>
    </w:p>
    <w:p>
      <w:pPr>
        <w:spacing w:after="100" w:before="100"/>
      </w:pPr>
      <w:r>
        <w:rPr>
          <w:rFonts w:ascii="Calibri" w:cs="Calibri" w:eastAsia="Calibri" w:hAnsi="Calibri"/>
          <w:i/>
          <w:iCs/>
          <w:color w:val="595959"/>
          <w:sz w:val="22"/>
          <w:szCs w:val="22"/>
        </w:rPr>
        <w:t xml:space="preserve">Companion artifact. jira_intake_template_spec_v1.docx on the Operating Model &amp; Standards landing page.</w:t>
      </w:r>
    </w:p>
    <w:p>
      <w:pPr>
        <w:pStyle w:val="Heading2"/>
        <w:spacing w:after="140" w:before="280"/>
      </w:pPr>
      <w:r>
        <w:rPr>
          <w:b/>
          <w:bCs/>
          <w:color w:val="176B2C"/>
          <w:sz w:val="26"/>
          <w:szCs w:val="26"/>
        </w:rPr>
        <w:t xml:space="preserve">When to raise an intake</w:t>
      </w:r>
    </w:p>
    <w:p>
      <w:pPr>
        <w:spacing w:after="100" w:before="100"/>
      </w:pPr>
      <w:r>
        <w:rPr>
          <w:rFonts w:ascii="Calibri" w:cs="Calibri" w:eastAsia="Calibri" w:hAnsi="Calibri"/>
          <w:sz w:val="22"/>
          <w:szCs w:val="22"/>
        </w:rPr>
        <w:t xml:space="preserve">Raise a Jira intake when a business need can't be served by an existing data product — typically when:</w:t>
      </w:r>
    </w:p>
    <w:p>
      <w:pPr>
        <w:pStyle w:val="ListParagraph"/>
        <w:numPr>
          <w:ilvl w:val="0"/>
          <w:numId w:val="2"/>
        </w:numPr>
        <w:spacing w:after="50" w:before="50"/>
      </w:pPr>
      <w:r>
        <w:rPr>
          <w:sz w:val="22"/>
          <w:szCs w:val="22"/>
        </w:rPr>
        <w:t xml:space="preserve">A dashboard is missing</w:t>
      </w:r>
    </w:p>
    <w:p>
      <w:pPr>
        <w:pStyle w:val="ListParagraph"/>
        <w:numPr>
          <w:ilvl w:val="0"/>
          <w:numId w:val="2"/>
        </w:numPr>
        <w:spacing w:after="50" w:before="50"/>
      </w:pPr>
      <w:r>
        <w:rPr>
          <w:sz w:val="22"/>
          <w:szCs w:val="22"/>
        </w:rPr>
        <w:t xml:space="preserve">A metric is stuck in spreadsheets</w:t>
      </w:r>
    </w:p>
    <w:p>
      <w:pPr>
        <w:pStyle w:val="ListParagraph"/>
        <w:numPr>
          <w:ilvl w:val="0"/>
          <w:numId w:val="2"/>
        </w:numPr>
        <w:spacing w:after="50" w:before="50"/>
      </w:pPr>
      <w:r>
        <w:rPr>
          <w:sz w:val="22"/>
          <w:szCs w:val="22"/>
        </w:rPr>
        <w:t xml:space="preserve">A regulatory or limit-monitoring requirement needs to be operationalised</w:t>
      </w:r>
    </w:p>
    <w:p>
      <w:pPr>
        <w:pStyle w:val="ListParagraph"/>
        <w:numPr>
          <w:ilvl w:val="0"/>
          <w:numId w:val="2"/>
        </w:numPr>
        <w:spacing w:after="50" w:before="50"/>
      </w:pPr>
      <w:r>
        <w:rPr>
          <w:sz w:val="22"/>
          <w:szCs w:val="22"/>
        </w:rPr>
        <w:t xml:space="preserve">A report exists but is fragile, undocumented, or contracted only informally</w:t>
      </w:r>
    </w:p>
    <w:p>
      <w:pPr>
        <w:pStyle w:val="ListParagraph"/>
        <w:numPr>
          <w:ilvl w:val="0"/>
          <w:numId w:val="2"/>
        </w:numPr>
        <w:spacing w:after="50" w:before="50"/>
      </w:pPr>
      <w:r>
        <w:rPr>
          <w:sz w:val="22"/>
          <w:szCs w:val="22"/>
        </w:rPr>
        <w:t xml:space="preserve">A current product doesn't cover a cross-product question</w:t>
      </w:r>
    </w:p>
    <w:p>
      <w:pPr>
        <w:spacing w:after="100" w:before="100"/>
      </w:pPr>
      <w:r>
        <w:rPr>
          <w:rFonts w:ascii="Calibri" w:cs="Calibri" w:eastAsia="Calibri" w:hAnsi="Calibri"/>
          <w:sz w:val="22"/>
          <w:szCs w:val="22"/>
        </w:rPr>
        <w:t xml:space="preserve">Before raising the intake, a quick conversation with the Data Product Owner (DD) is encouraged — they may be able to redirect you to an existing product or shape the request to land cleanly.</w:t>
      </w:r>
    </w:p>
    <w:p>
      <w:pPr>
        <w:pStyle w:val="Heading2"/>
        <w:spacing w:after="140" w:before="280"/>
      </w:pPr>
      <w:r>
        <w:rPr>
          <w:b/>
          <w:bCs/>
          <w:color w:val="176B2C"/>
          <w:sz w:val="26"/>
          <w:szCs w:val="26"/>
        </w:rPr>
        <w:t xml:space="preserve">The intake form</w:t>
      </w:r>
    </w:p>
    <w:p>
      <w:pPr>
        <w:spacing w:after="100" w:before="100"/>
      </w:pPr>
      <w:r>
        <w:rPr>
          <w:rFonts w:ascii="Calibri" w:cs="Calibri" w:eastAsia="Calibri" w:hAnsi="Calibri"/>
          <w:sz w:val="22"/>
          <w:szCs w:val="22"/>
        </w:rPr>
        <w:t xml:space="preserve">The intake form is intentionally short — seven fields, designed to be filled in minutes, not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Field</w:t>
            </w:r>
          </w:p>
        </w:tc>
        <w:tc>
          <w:tcPr>
            <w:tcW w:type="dxa" w:w="15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Required?</w:t>
            </w:r>
          </w:p>
        </w:tc>
        <w:tc>
          <w:tcPr>
            <w:tcW w:type="dxa" w:w="48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Notes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Requesting team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Yes</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Team raising the request — used for routing and validation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Brief description of the need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Yes</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1–3 sentences. What question can't be answered today?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Target consumer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Yes</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Who will use the data — a dashboard, a model, a report, a downstream feed?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Urgency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Yes</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Standard / High / Critical. Critical implies regulatory or executive escalation.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 source(s)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Recommended</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If you know where the data lives today (an app, a report, a spreadsheet), name it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 PG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Optional</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If you know which Product Group should own this, name it. Auto-routes.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Business approver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Yes</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Named approver who signs off on the request</w:t>
            </w:r>
          </w:p>
        </w:tc>
      </w:tr>
    </w:tbl>
    <w:p>
      <w:pPr>
        <w:spacing w:after="160"/>
      </w:pPr>
      <w:r>
        <w:t xml:space="preserve"> </w:t>
      </w:r>
    </w:p>
    <w:p>
      <w:pPr>
        <w:pStyle w:val="Heading2"/>
        <w:spacing w:after="140" w:before="280"/>
      </w:pPr>
      <w:r>
        <w:rPr>
          <w:b/>
          <w:bCs/>
          <w:color w:val="176B2C"/>
          <w:sz w:val="26"/>
          <w:szCs w:val="26"/>
        </w:rPr>
        <w:t xml:space="preserve">What happens after submission</w:t>
      </w:r>
    </w:p>
    <w:p>
      <w:pPr>
        <w:spacing w:after="100" w:before="100"/>
      </w:pPr>
      <w:r>
        <w:rPr>
          <w:rFonts w:ascii="Calibri" w:cs="Calibri" w:eastAsia="Calibri" w:hAnsi="Calibri"/>
          <w:sz w:val="22"/>
          <w:szCs w:val="22"/>
        </w:rPr>
        <w:t xml:space="preserve">Once the intake lands in the RISKDATA Jira project, the Data Product Owner picks it up and works through five steps:</w:t>
      </w:r>
    </w:p>
    <w:p>
      <w:pPr>
        <w:pStyle w:val="ListParagraph"/>
        <w:numPr>
          <w:ilvl w:val="0"/>
          <w:numId w:val="2"/>
        </w:numPr>
        <w:spacing w:after="50" w:before="50"/>
      </w:pPr>
      <w:r>
        <w:rPr>
          <w:sz w:val="22"/>
          <w:szCs w:val="22"/>
        </w:rPr>
        <w:t xml:space="preserve">Triage — confirm the need can be served (or redirect to an existing product)</w:t>
      </w:r>
    </w:p>
    <w:p>
      <w:pPr>
        <w:pStyle w:val="ListParagraph"/>
        <w:numPr>
          <w:ilvl w:val="0"/>
          <w:numId w:val="2"/>
        </w:numPr>
        <w:spacing w:after="50" w:before="50"/>
      </w:pPr>
      <w:r>
        <w:rPr>
          <w:sz w:val="22"/>
          <w:szCs w:val="22"/>
        </w:rPr>
        <w:t xml:space="preserve">Scope — identify producing app(s), required entities, target grain</w:t>
      </w:r>
    </w:p>
    <w:p>
      <w:pPr>
        <w:pStyle w:val="ListParagraph"/>
        <w:numPr>
          <w:ilvl w:val="0"/>
          <w:numId w:val="2"/>
        </w:numPr>
        <w:spacing w:after="50" w:before="50"/>
      </w:pPr>
      <w:r>
        <w:rPr>
          <w:sz w:val="22"/>
          <w:szCs w:val="22"/>
        </w:rPr>
        <w:t xml:space="preserve">Draft contract — author the initial YAML contract following the attribute spec</w:t>
      </w:r>
    </w:p>
    <w:p>
      <w:pPr>
        <w:pStyle w:val="ListParagraph"/>
        <w:numPr>
          <w:ilvl w:val="0"/>
          <w:numId w:val="2"/>
        </w:numPr>
        <w:spacing w:after="50" w:before="50"/>
      </w:pPr>
      <w:r>
        <w:rPr>
          <w:sz w:val="22"/>
          <w:szCs w:val="22"/>
        </w:rPr>
        <w:t xml:space="preserve">Review — Tech Product Owner and Risk Data Team review; PG sign-off if cross-PG</w:t>
      </w:r>
    </w:p>
    <w:p>
      <w:pPr>
        <w:pStyle w:val="ListParagraph"/>
        <w:numPr>
          <w:ilvl w:val="0"/>
          <w:numId w:val="2"/>
        </w:numPr>
        <w:spacing w:after="50" w:before="50"/>
      </w:pPr>
      <w:r>
        <w:rPr>
          <w:sz w:val="22"/>
          <w:szCs w:val="22"/>
        </w:rPr>
        <w:t xml:space="preserve">Build — engineering builds the product; the contract is the spec they build to</w:t>
      </w:r>
    </w:p>
    <w:p>
      <w:pPr>
        <w:spacing w:after="100" w:before="100"/>
      </w:pPr>
      <w:r>
        <w:rPr>
          <w:rFonts w:ascii="Calibri" w:cs="Calibri" w:eastAsia="Calibri" w:hAnsi="Calibri"/>
          <w:sz w:val="22"/>
          <w:szCs w:val="22"/>
        </w:rPr>
        <w:t xml:space="preserve">Typical timeline: 2-6 weeks depending on scope and whether new conformed entities are needed. Critical-urgency intakes are prioritized; otherwise FIFO within the PG queue.</w:t>
      </w:r>
    </w:p>
    <w:p>
      <w:pPr>
        <w:pStyle w:val="Heading2"/>
        <w:spacing w:after="140" w:before="280"/>
      </w:pPr>
      <w:r>
        <w:rPr>
          <w:b/>
          <w:bCs/>
          <w:color w:val="176B2C"/>
          <w:sz w:val="26"/>
          <w:szCs w:val="26"/>
        </w:rPr>
        <w:t xml:space="preserve">Validation at the end</w:t>
      </w:r>
    </w:p>
    <w:p>
      <w:pPr>
        <w:spacing w:after="100" w:before="100"/>
      </w:pPr>
      <w:r>
        <w:rPr>
          <w:rFonts w:ascii="Calibri" w:cs="Calibri" w:eastAsia="Calibri" w:hAnsi="Calibri"/>
          <w:sz w:val="22"/>
          <w:szCs w:val="22"/>
        </w:rPr>
        <w:t xml:space="preserve">Before the product is considered complete, the requesting team validates that it actually serves the use case that drove the intake. Validation closes the loop. If validation fails, the contract is adjusted and the build cycle iterates.</w:t>
      </w:r>
    </w:p>
    <w:p>
      <w:pPr>
        <w:pStyle w:val="Heading2"/>
        <w:spacing w:after="140" w:before="280"/>
      </w:pPr>
      <w:r>
        <w:rPr>
          <w:b/>
          <w:bCs/>
          <w:color w:val="176B2C"/>
          <w:sz w:val="26"/>
          <w:szCs w:val="26"/>
        </w:rPr>
        <w:t xml:space="preserve">Where to go from here</w:t>
      </w:r>
    </w:p>
    <w:p>
      <w:pPr>
        <w:pStyle w:val="ListParagraph"/>
        <w:numPr>
          <w:ilvl w:val="0"/>
          <w:numId w:val="2"/>
        </w:numPr>
        <w:spacing w:after="50" w:before="50"/>
      </w:pPr>
      <w:r>
        <w:rPr>
          <w:sz w:val="22"/>
          <w:szCs w:val="22"/>
        </w:rPr>
        <w:t xml:space="preserve">Parent page: Data Contract Standard</w:t>
      </w:r>
    </w:p>
    <w:p>
      <w:pPr>
        <w:pStyle w:val="ListParagraph"/>
        <w:numPr>
          <w:ilvl w:val="0"/>
          <w:numId w:val="2"/>
        </w:numPr>
        <w:spacing w:after="50" w:before="50"/>
      </w:pPr>
      <w:r>
        <w:rPr>
          <w:sz w:val="22"/>
          <w:szCs w:val="22"/>
        </w:rPr>
        <w:t xml:space="preserve">4.2 Change Management — how the contract evolves once active</w:t>
      </w:r>
    </w:p>
    <w:p>
      <w:pPr>
        <w:pStyle w:val="ListParagraph"/>
        <w:numPr>
          <w:ilvl w:val="0"/>
          <w:numId w:val="2"/>
        </w:numPr>
        <w:spacing w:after="50" w:before="50"/>
      </w:pPr>
      <w:r>
        <w:rPr>
          <w:sz w:val="22"/>
          <w:szCs w:val="22"/>
        </w:rPr>
        <w:t xml:space="preserve">Roles &amp; Responsibilities (under Governance &amp; Cadence — Page 10) — for the full RASCI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4. Data Contract Standard</w:t>
            </w:r>
          </w:p>
          <w:p>
            <w:r>
              <w:rPr>
                <w:b/>
                <w:bCs/>
                <w:color w:val="FFFFFF"/>
                <w:sz w:val="32"/>
                <w:szCs w:val="32"/>
              </w:rPr>
              <w:t xml:space="preserve">↳ 4.2 Change Management</w:t>
            </w:r>
          </w:p>
        </w:tc>
      </w:tr>
    </w:tbl>
    <w:p>
      <w:pPr>
        <w:spacing w:after="280" w:before="100"/>
        <w:jc w:val="center"/>
      </w:pPr>
      <w:r>
        <w:rPr>
          <w:b/>
          <w:bCs/>
          <w:color w:val="176B2C"/>
          <w:sz w:val="40"/>
          <w:szCs w:val="40"/>
        </w:rPr>
        <w:t xml:space="preserve">Change Management</w:t>
      </w:r>
    </w:p>
    <w:p>
      <w:pPr>
        <w:spacing w:after="280"/>
        <w:jc w:val="center"/>
      </w:pPr>
      <w:r>
        <w:rPr>
          <w:i/>
          <w:iCs/>
          <w:color w:val="595959"/>
          <w:sz w:val="22"/>
          <w:szCs w:val="22"/>
        </w:rPr>
        <w:t xml:space="preserve">How contracts evolve — versions, notice periods, surfaces</w:t>
      </w:r>
    </w:p>
    <w:p>
      <w:pPr>
        <w:spacing w:after="100" w:before="100"/>
      </w:pPr>
      <w:r>
        <w:rPr>
          <w:rFonts w:ascii="Calibri" w:cs="Calibri" w:eastAsia="Calibri" w:hAnsi="Calibri"/>
          <w:i/>
          <w:iCs/>
          <w:color w:val="595959"/>
          <w:sz w:val="22"/>
          <w:szCs w:val="22"/>
        </w:rPr>
        <w:t xml:space="preserve">Authority. Risk Data Team owns the change management standard. Data Product Owners author change entries; consumers receive notifications.</w:t>
      </w:r>
    </w:p>
    <w:p>
      <w:pPr>
        <w:pStyle w:val="Heading2"/>
        <w:spacing w:after="140" w:before="280"/>
      </w:pPr>
      <w:r>
        <w:rPr>
          <w:b/>
          <w:bCs/>
          <w:color w:val="176B2C"/>
          <w:sz w:val="26"/>
          <w:szCs w:val="26"/>
        </w:rPr>
        <w:t xml:space="preserve">Three surfaces</w:t>
      </w:r>
    </w:p>
    <w:p>
      <w:pPr>
        <w:spacing w:after="100" w:before="100"/>
      </w:pPr>
      <w:r>
        <w:rPr>
          <w:rFonts w:ascii="Calibri" w:cs="Calibri" w:eastAsia="Calibri" w:hAnsi="Calibri"/>
          <w:sz w:val="22"/>
          <w:szCs w:val="22"/>
        </w:rPr>
        <w:t xml:space="preserve">Change information for a data product lives in three surfaces. Each plays a distinct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Surface</w:t>
            </w:r>
          </w:p>
        </w:tc>
        <w:tc>
          <w:tcPr>
            <w:tcW w:type="dxa" w:w="27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Role</w:t>
            </w:r>
          </w:p>
        </w:tc>
        <w:tc>
          <w:tcPr>
            <w:tcW w:type="dxa" w:w="42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Carries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 (Git)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Authoritative source of truth</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contract_version, change_policy, full change_history block (every version, every change)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Confluence product page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Human-facing view</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Same change history rendered for non-engineers; product summary; consumer list; links to dashboards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Unity Catalog tags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Catalog signal — quick read</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contract.version, contract.url, contract.changed (date of last change)</w:t>
            </w:r>
          </w:p>
        </w:tc>
      </w:tr>
    </w:tbl>
    <w:p>
      <w:pPr>
        <w:spacing w:after="160"/>
      </w:pPr>
      <w:r>
        <w:t xml:space="preserve"> </w:t>
      </w:r>
    </w:p>
    <w:p>
      <w:pPr>
        <w:spacing w:after="100" w:before="100"/>
      </w:pPr>
      <w:r>
        <w:rPr>
          <w:rFonts w:ascii="Calibri" w:cs="Calibri" w:eastAsia="Calibri" w:hAnsi="Calibri"/>
          <w:sz w:val="22"/>
          <w:szCs w:val="22"/>
        </w:rPr>
        <w:t xml:space="preserve">The contract YAML is authored first. The Confluence page and UC tags are populated from it via CI.</w:t>
      </w:r>
    </w:p>
    <w:p>
      <w:pPr>
        <w:pStyle w:val="Heading2"/>
        <w:spacing w:after="140" w:before="280"/>
      </w:pPr>
      <w:r>
        <w:rPr>
          <w:b/>
          <w:bCs/>
          <w:color w:val="176B2C"/>
          <w:sz w:val="26"/>
          <w:szCs w:val="26"/>
        </w:rPr>
        <w:t xml:space="preserve">Tags on the table</w:t>
      </w:r>
    </w:p>
    <w:p>
      <w:pPr>
        <w:spacing w:after="100" w:before="100"/>
      </w:pPr>
      <w:r>
        <w:rPr>
          <w:rFonts w:ascii="Calibri" w:cs="Calibri" w:eastAsia="Calibri" w:hAnsi="Calibri"/>
          <w:sz w:val="22"/>
          <w:szCs w:val="22"/>
        </w:rPr>
        <w:t xml:space="preserve">Four tags carry change information in UC. Each is queryable from system.information_schema.table_tags.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800"/>
        <w:gridCol w:w="1860"/>
      </w:tblGrid>
      <w:tr>
        <w:trPr>
          <w:tblHeader/>
        </w:trPr>
        <w:tc>
          <w:tcPr>
            <w:tcW w:type="dxa" w:w="27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Tag</w:t>
            </w:r>
          </w:p>
        </w:tc>
        <w:tc>
          <w:tcPr>
            <w:tcW w:type="dxa" w:w="48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Example</w:t>
            </w:r>
          </w:p>
        </w:tc>
        <w:tc>
          <w:tcPr>
            <w:tcW w:type="dxa" w:w="18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Updated</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contract.version</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1.2.0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Each release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contract.url</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https://td.atlassian.net/wiki/.../data-product-ccr-exposure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Once at creation; rarely changes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contract.changed</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2026-04-12</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Each release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status</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active · deprecated · sunset</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On lifecycle transitions</w:t>
            </w:r>
          </w:p>
        </w:tc>
      </w:tr>
    </w:tbl>
    <w:p>
      <w:pPr>
        <w:spacing w:after="160"/>
      </w:pPr>
      <w:r>
        <w:t xml:space="preserve"> </w:t>
      </w:r>
    </w:p>
    <w:p>
      <w:pPr>
        <w:spacing w:after="100" w:before="100"/>
      </w:pPr>
      <w:r>
        <w:rPr>
          <w:rFonts w:ascii="Calibri" w:cs="Calibri" w:eastAsia="Calibri" w:hAnsi="Calibri"/>
          <w:i/>
          <w:iCs/>
          <w:color w:val="595959"/>
          <w:sz w:val="22"/>
          <w:szCs w:val="22"/>
        </w:rPr>
        <w:t xml:space="preserve">Change policy notice periods are not stored as a tag (they were in earlier versions but the policy is the same across all risk products, so storing it per-table added noise). The standard notice periods are documented below.</w:t>
      </w:r>
    </w:p>
    <w:p>
      <w:pPr>
        <w:pStyle w:val="Heading2"/>
        <w:spacing w:after="140" w:before="280"/>
      </w:pPr>
      <w:r>
        <w:rPr>
          <w:b/>
          <w:bCs/>
          <w:color w:val="176B2C"/>
          <w:sz w:val="26"/>
          <w:szCs w:val="26"/>
        </w:rPr>
        <w:t xml:space="preserve">Standard notice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Change type</w:t>
            </w:r>
          </w:p>
        </w:tc>
        <w:tc>
          <w:tcPr>
            <w:tcW w:type="dxa" w:w="22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Notice period</w:t>
            </w:r>
          </w:p>
        </w:tc>
        <w:tc>
          <w:tcPr>
            <w:tcW w:type="dxa" w:w="53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Examples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Breaking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60 days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Column removed, type changed, grain changed, measure semantics changed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Additive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14 days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New column added, new measure added, new optional dimension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Editorial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No notice (informational)</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Description text refined, internal documentation update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Deprecation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90 days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Product marked deprecated; full sunset follows after the notice period</w:t>
            </w:r>
          </w:p>
        </w:tc>
      </w:tr>
    </w:tbl>
    <w:p>
      <w:pPr>
        <w:spacing w:after="160"/>
      </w:pPr>
      <w:r>
        <w:t xml:space="preserve"> </w:t>
      </w:r>
    </w:p>
    <w:p>
      <w:pPr>
        <w:spacing w:after="100" w:before="100"/>
      </w:pPr>
      <w:r>
        <w:rPr>
          <w:rFonts w:ascii="Calibri" w:cs="Calibri" w:eastAsia="Calibri" w:hAnsi="Calibri"/>
          <w:i/>
          <w:iCs/>
          <w:color w:val="595959"/>
          <w:sz w:val="22"/>
          <w:szCs w:val="22"/>
        </w:rPr>
        <w:t xml:space="preserve">A product may override the default notice periods if its consumers explicitly agree — the override is documented in the contract's change_policy block.</w:t>
      </w:r>
    </w:p>
    <w:p>
      <w:pPr>
        <w:pStyle w:val="Heading2"/>
        <w:spacing w:after="140" w:before="280"/>
      </w:pPr>
      <w:r>
        <w:rPr>
          <w:b/>
          <w:bCs/>
          <w:color w:val="176B2C"/>
          <w:sz w:val="26"/>
          <w:szCs w:val="26"/>
        </w:rPr>
        <w:t xml:space="preserve">The change_history block in the contract</w:t>
      </w:r>
    </w:p>
    <w:p>
      <w:pPr>
        <w:spacing w:after="100" w:before="100"/>
      </w:pPr>
      <w:r>
        <w:rPr>
          <w:rFonts w:ascii="Calibri" w:cs="Calibri" w:eastAsia="Calibri" w:hAnsi="Calibri"/>
          <w:sz w:val="22"/>
          <w:szCs w:val="22"/>
        </w:rPr>
        <w:t xml:space="preserve">Every contract YAML carries a change_history block. Each entry captures:</w:t>
      </w:r>
    </w:p>
    <w:p>
      <w:pPr>
        <w:pStyle w:val="ListParagraph"/>
        <w:numPr>
          <w:ilvl w:val="0"/>
          <w:numId w:val="2"/>
        </w:numPr>
        <w:spacing w:after="50" w:before="50"/>
      </w:pPr>
      <w:r>
        <w:rPr>
          <w:sz w:val="22"/>
          <w:szCs w:val="22"/>
        </w:rPr>
        <w:t xml:space="preserve">version (semver)</w:t>
      </w:r>
    </w:p>
    <w:p>
      <w:pPr>
        <w:pStyle w:val="ListParagraph"/>
        <w:numPr>
          <w:ilvl w:val="0"/>
          <w:numId w:val="2"/>
        </w:numPr>
        <w:spacing w:after="50" w:before="50"/>
      </w:pPr>
      <w:r>
        <w:rPr>
          <w:sz w:val="22"/>
          <w:szCs w:val="22"/>
        </w:rPr>
        <w:t xml:space="preserve">date (when the change went live)</w:t>
      </w:r>
    </w:p>
    <w:p>
      <w:pPr>
        <w:pStyle w:val="ListParagraph"/>
        <w:numPr>
          <w:ilvl w:val="0"/>
          <w:numId w:val="2"/>
        </w:numPr>
        <w:spacing w:after="50" w:before="50"/>
      </w:pPr>
      <w:r>
        <w:rPr>
          <w:sz w:val="22"/>
          <w:szCs w:val="22"/>
        </w:rPr>
        <w:t xml:space="preserve">type (breaking / additive / editorial / initial)</w:t>
      </w:r>
    </w:p>
    <w:p>
      <w:pPr>
        <w:pStyle w:val="ListParagraph"/>
        <w:numPr>
          <w:ilvl w:val="0"/>
          <w:numId w:val="2"/>
        </w:numPr>
        <w:spacing w:after="50" w:before="50"/>
      </w:pPr>
      <w:r>
        <w:rPr>
          <w:sz w:val="22"/>
          <w:szCs w:val="22"/>
        </w:rPr>
        <w:t xml:space="preserve">notice_given (date the change was announced — for breaking &amp; additive)</w:t>
      </w:r>
    </w:p>
    <w:p>
      <w:pPr>
        <w:pStyle w:val="ListParagraph"/>
        <w:numPr>
          <w:ilvl w:val="0"/>
          <w:numId w:val="2"/>
        </w:numPr>
        <w:spacing w:after="50" w:before="50"/>
      </w:pPr>
      <w:r>
        <w:rPr>
          <w:sz w:val="22"/>
          <w:szCs w:val="22"/>
        </w:rPr>
        <w:t xml:space="preserve">summary (plain-language description)</w:t>
      </w:r>
    </w:p>
    <w:p>
      <w:pPr>
        <w:pStyle w:val="ListParagraph"/>
        <w:numPr>
          <w:ilvl w:val="0"/>
          <w:numId w:val="2"/>
        </w:numPr>
        <w:spacing w:after="50" w:before="50"/>
      </w:pPr>
      <w:r>
        <w:rPr>
          <w:sz w:val="22"/>
          <w:szCs w:val="22"/>
        </w:rPr>
        <w:t xml:space="preserve">impact (what consumers need to do)</w:t>
      </w:r>
    </w:p>
    <w:p>
      <w:pPr>
        <w:pStyle w:val="ListParagraph"/>
        <w:numPr>
          <w:ilvl w:val="0"/>
          <w:numId w:val="2"/>
        </w:numPr>
        <w:spacing w:after="50" w:before="50"/>
      </w:pPr>
      <w:r>
        <w:rPr>
          <w:sz w:val="22"/>
          <w:szCs w:val="22"/>
        </w:rPr>
        <w:t xml:space="preserve">approved_by (PG and Risk Data signoffs)</w:t>
      </w:r>
    </w:p>
    <w:p>
      <w:pPr>
        <w:pStyle w:val="ListParagraph"/>
        <w:numPr>
          <w:ilvl w:val="0"/>
          <w:numId w:val="2"/>
        </w:numPr>
        <w:spacing w:after="50" w:before="50"/>
      </w:pPr>
      <w:r>
        <w:rPr>
          <w:sz w:val="22"/>
          <w:szCs w:val="22"/>
        </w:rPr>
        <w:t xml:space="preserve">notification_sent and notification_channel (audit of who was told and when)</w:t>
      </w:r>
    </w:p>
    <w:p>
      <w:pPr>
        <w:pStyle w:val="ListParagraph"/>
        <w:numPr>
          <w:ilvl w:val="0"/>
          <w:numId w:val="2"/>
        </w:numPr>
        <w:spacing w:after="50" w:before="50"/>
      </w:pPr>
      <w:r>
        <w:rPr>
          <w:sz w:val="22"/>
          <w:szCs w:val="22"/>
        </w:rPr>
        <w:t xml:space="preserve">jira_ticket (link to the change request)</w:t>
      </w:r>
    </w:p>
    <w:p>
      <w:pPr>
        <w:spacing w:after="100" w:before="100"/>
      </w:pPr>
      <w:r>
        <w:rPr>
          <w:rFonts w:ascii="Calibri" w:cs="Calibri" w:eastAsia="Calibri" w:hAnsi="Calibri"/>
          <w:sz w:val="22"/>
          <w:szCs w:val="22"/>
        </w:rPr>
        <w:t xml:space="preserve">Entries are prepended — most recent first. The list grows over the product's lifetime.</w:t>
      </w:r>
    </w:p>
    <w:p>
      <w:pPr>
        <w:spacing w:after="100" w:before="100"/>
      </w:pPr>
      <w:r>
        <w:rPr>
          <w:rFonts w:ascii="Calibri" w:cs="Calibri" w:eastAsia="Calibri" w:hAnsi="Calibri"/>
          <w:i/>
          <w:iCs/>
          <w:color w:val="595959"/>
          <w:sz w:val="22"/>
          <w:szCs w:val="22"/>
        </w:rPr>
        <w:t xml:space="preserve">See the data contract template (data_contract_template_v6_1.yaml) for the full structure.</w:t>
      </w:r>
    </w:p>
    <w:p>
      <w:pPr>
        <w:pStyle w:val="Heading2"/>
        <w:spacing w:after="140" w:before="280"/>
      </w:pPr>
      <w:r>
        <w:rPr>
          <w:b/>
          <w:bCs/>
          <w:color w:val="176B2C"/>
          <w:sz w:val="26"/>
          <w:szCs w:val="26"/>
        </w:rPr>
        <w:t xml:space="preserve">The Confluence product page</w:t>
      </w:r>
    </w:p>
    <w:p>
      <w:pPr>
        <w:spacing w:after="100" w:before="100"/>
      </w:pPr>
      <w:r>
        <w:rPr>
          <w:rFonts w:ascii="Calibri" w:cs="Calibri" w:eastAsia="Calibri" w:hAnsi="Calibri"/>
          <w:sz w:val="22"/>
          <w:szCs w:val="22"/>
        </w:rPr>
        <w:t xml:space="preserve">One page per data product. Lives in the Risk Data Confluence space. Page name follows the convention Data Product — &lt;name&gt;.</w:t>
      </w:r>
    </w:p>
    <w:p>
      <w:pPr>
        <w:spacing w:after="100" w:before="100"/>
      </w:pPr>
      <w:r>
        <w:rPr>
          <w:rFonts w:ascii="Calibri" w:cs="Calibri" w:eastAsia="Calibri" w:hAnsi="Calibri"/>
          <w:sz w:val="22"/>
          <w:szCs w:val="22"/>
        </w:rPr>
        <w:t xml:space="preserve">Each page contains:</w:t>
      </w:r>
    </w:p>
    <w:p>
      <w:pPr>
        <w:pStyle w:val="ListParagraph"/>
        <w:numPr>
          <w:ilvl w:val="0"/>
          <w:numId w:val="2"/>
        </w:numPr>
        <w:spacing w:after="50" w:before="50"/>
      </w:pPr>
      <w:r>
        <w:rPr>
          <w:sz w:val="22"/>
          <w:szCs w:val="22"/>
        </w:rPr>
        <w:t xml:space="preserve">Summary — one paragraph describing the product</w:t>
      </w:r>
    </w:p>
    <w:p>
      <w:pPr>
        <w:pStyle w:val="ListParagraph"/>
        <w:numPr>
          <w:ilvl w:val="0"/>
          <w:numId w:val="2"/>
        </w:numPr>
        <w:spacing w:after="50" w:before="50"/>
      </w:pPr>
      <w:r>
        <w:rPr>
          <w:sz w:val="22"/>
          <w:szCs w:val="22"/>
        </w:rPr>
        <w:t xml:space="preserve">Current state — version, owner, refresh, classification (mirrors the UC tags)</w:t>
      </w:r>
    </w:p>
    <w:p>
      <w:pPr>
        <w:pStyle w:val="ListParagraph"/>
        <w:numPr>
          <w:ilvl w:val="0"/>
          <w:numId w:val="2"/>
        </w:numPr>
        <w:spacing w:after="50" w:before="50"/>
      </w:pPr>
      <w:r>
        <w:rPr>
          <w:sz w:val="22"/>
          <w:szCs w:val="22"/>
        </w:rPr>
        <w:t xml:space="preserve">Change History — one section per version, anchored for direct linking (e.g. ...#v1.2.0)</w:t>
      </w:r>
    </w:p>
    <w:p>
      <w:pPr>
        <w:pStyle w:val="ListParagraph"/>
        <w:numPr>
          <w:ilvl w:val="0"/>
          <w:numId w:val="2"/>
        </w:numPr>
        <w:spacing w:after="50" w:before="50"/>
      </w:pPr>
      <w:r>
        <w:rPr>
          <w:sz w:val="22"/>
          <w:szCs w:val="22"/>
        </w:rPr>
        <w:t xml:space="preserve">Links out — contract YAML in Git, Collibra entry, consuming dashboards, semantic-layer reference</w:t>
      </w:r>
    </w:p>
    <w:p>
      <w:pPr>
        <w:spacing w:after="100" w:before="100"/>
      </w:pPr>
      <w:r>
        <w:rPr>
          <w:rFonts w:ascii="Calibri" w:cs="Calibri" w:eastAsia="Calibri" w:hAnsi="Calibri"/>
          <w:sz w:val="22"/>
          <w:szCs w:val="22"/>
        </w:rPr>
        <w:t xml:space="preserve">The UC tag contract.url points to the page. When the URL is set to a specific anchor (e.g. ...#v1.2.0), a reader is taken directly to the most recent change.</w:t>
      </w:r>
    </w:p>
    <w:p>
      <w:pPr>
        <w:pStyle w:val="Heading2"/>
        <w:spacing w:after="140" w:before="280"/>
      </w:pPr>
      <w:r>
        <w:rPr>
          <w:b/>
          <w:bCs/>
          <w:color w:val="176B2C"/>
          <w:sz w:val="26"/>
          <w:szCs w:val="26"/>
        </w:rPr>
        <w:t xml:space="preserve">Workflow per release</w:t>
      </w:r>
    </w:p>
    <w:p>
      <w:pPr>
        <w:pStyle w:val="ListParagraph"/>
        <w:numPr>
          <w:ilvl w:val="0"/>
          <w:numId w:val="2"/>
        </w:numPr>
        <w:spacing w:after="50" w:before="50"/>
      </w:pPr>
      <w:r>
        <w:rPr>
          <w:sz w:val="22"/>
          <w:szCs w:val="22"/>
        </w:rPr>
        <w:t xml:space="preserve">New entry prepended to change_history in the contract YAML; commit to Git</w:t>
      </w:r>
    </w:p>
    <w:p>
      <w:pPr>
        <w:pStyle w:val="ListParagraph"/>
        <w:numPr>
          <w:ilvl w:val="0"/>
          <w:numId w:val="2"/>
        </w:numPr>
        <w:spacing w:after="50" w:before="50"/>
      </w:pPr>
      <w:r>
        <w:rPr>
          <w:sz w:val="22"/>
          <w:szCs w:val="22"/>
        </w:rPr>
        <w:t xml:space="preserve">Confluence product page updated (manually for now; auto-generated later as the function scales)</w:t>
      </w:r>
    </w:p>
    <w:p>
      <w:pPr>
        <w:pStyle w:val="ListParagraph"/>
        <w:numPr>
          <w:ilvl w:val="0"/>
          <w:numId w:val="2"/>
        </w:numPr>
        <w:spacing w:after="50" w:before="50"/>
      </w:pPr>
      <w:r>
        <w:rPr>
          <w:sz w:val="22"/>
          <w:szCs w:val="22"/>
        </w:rPr>
        <w:t xml:space="preserve">UC tags re-applied — contract.version and contract.changed updated; contract.url updated if pointing to a specific version anchor</w:t>
      </w:r>
    </w:p>
    <w:p>
      <w:pPr>
        <w:pStyle w:val="ListParagraph"/>
        <w:numPr>
          <w:ilvl w:val="0"/>
          <w:numId w:val="2"/>
        </w:numPr>
        <w:spacing w:after="50" w:before="50"/>
      </w:pPr>
      <w:r>
        <w:rPr>
          <w:sz w:val="22"/>
          <w:szCs w:val="22"/>
        </w:rPr>
        <w:t xml:space="preserve">Notification sent to the consumer email group per the change_policy.notification_channel</w:t>
      </w:r>
    </w:p>
    <w:p>
      <w:pPr>
        <w:pStyle w:val="Heading2"/>
        <w:spacing w:after="140" w:before="280"/>
      </w:pPr>
      <w:r>
        <w:rPr>
          <w:b/>
          <w:bCs/>
          <w:color w:val="176B2C"/>
          <w:sz w:val="26"/>
          <w:szCs w:val="26"/>
        </w:rPr>
        <w:t xml:space="preserve">Where to go from here</w:t>
      </w:r>
    </w:p>
    <w:p>
      <w:pPr>
        <w:pStyle w:val="ListParagraph"/>
        <w:numPr>
          <w:ilvl w:val="0"/>
          <w:numId w:val="2"/>
        </w:numPr>
        <w:spacing w:after="50" w:before="50"/>
      </w:pPr>
      <w:r>
        <w:rPr>
          <w:sz w:val="22"/>
          <w:szCs w:val="22"/>
        </w:rPr>
        <w:t xml:space="preserve">Parent page: Data Contract Standard</w:t>
      </w:r>
    </w:p>
    <w:p>
      <w:pPr>
        <w:pStyle w:val="ListParagraph"/>
        <w:numPr>
          <w:ilvl w:val="0"/>
          <w:numId w:val="2"/>
        </w:numPr>
        <w:spacing w:after="50" w:before="50"/>
      </w:pPr>
      <w:r>
        <w:rPr>
          <w:sz w:val="22"/>
          <w:szCs w:val="22"/>
        </w:rPr>
        <w:t xml:space="preserve">4.1 Intake Process — how new contracts originate</w:t>
      </w:r>
    </w:p>
    <w:p>
      <w:pPr>
        <w:pStyle w:val="ListParagraph"/>
        <w:numPr>
          <w:ilvl w:val="0"/>
          <w:numId w:val="2"/>
        </w:numPr>
        <w:spacing w:after="50" w:before="50"/>
      </w:pPr>
      <w:r>
        <w:rPr>
          <w:sz w:val="22"/>
          <w:szCs w:val="22"/>
        </w:rPr>
        <w:t xml:space="preserve">Consumer Registry (7) — for who receives notifications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Risk Data — Operating Model &amp; Standards</w:t>
            </w:r>
          </w:p>
          <w:p>
            <w:r>
              <w:rPr>
                <w:b/>
                <w:bCs/>
                <w:color w:val="FFFFFF"/>
                <w:sz w:val="32"/>
                <w:szCs w:val="32"/>
              </w:rPr>
              <w:t xml:space="preserve">↳ 5. Databricks Platform Standards</w:t>
            </w:r>
          </w:p>
        </w:tc>
      </w:tr>
    </w:tbl>
    <w:p>
      <w:pPr>
        <w:spacing w:after="280" w:before="100"/>
        <w:jc w:val="center"/>
      </w:pPr>
      <w:r>
        <w:rPr>
          <w:b/>
          <w:bCs/>
          <w:color w:val="176B2C"/>
          <w:sz w:val="40"/>
          <w:szCs w:val="40"/>
        </w:rPr>
        <w:t xml:space="preserve">Databricks Platform Standards</w:t>
      </w:r>
    </w:p>
    <w:p>
      <w:pPr>
        <w:spacing w:after="280"/>
        <w:jc w:val="center"/>
      </w:pPr>
      <w:r>
        <w:rPr>
          <w:i/>
          <w:iCs/>
          <w:color w:val="595959"/>
          <w:sz w:val="22"/>
          <w:szCs w:val="22"/>
        </w:rPr>
        <w:t xml:space="preserve">Implementation guidance for the Databricks-specific layer — schema layout and UC tags</w:t>
      </w:r>
    </w:p>
    <w:p>
      <w:pPr>
        <w:spacing w:after="100" w:before="100"/>
      </w:pPr>
      <w:r>
        <w:rPr>
          <w:rFonts w:ascii="Calibri" w:cs="Calibri" w:eastAsia="Calibri" w:hAnsi="Calibri"/>
          <w:i/>
          <w:iCs/>
          <w:color w:val="595959"/>
          <w:sz w:val="22"/>
          <w:szCs w:val="22"/>
        </w:rPr>
        <w:t xml:space="preserve">Authority. Risk Data Team owns these standards. TDVIP Infra (Databricks platform) operates the underlying platform. App teams and Engineering apply these standards day-to-day.</w:t>
      </w:r>
    </w:p>
    <w:p>
      <w:pPr>
        <w:pStyle w:val="Heading2"/>
        <w:spacing w:after="140" w:before="280"/>
      </w:pPr>
      <w:r>
        <w:rPr>
          <w:b/>
          <w:bCs/>
          <w:color w:val="176B2C"/>
          <w:sz w:val="26"/>
          <w:szCs w:val="26"/>
        </w:rPr>
        <w:t xml:space="preserve">What this section covers</w:t>
      </w:r>
    </w:p>
    <w:p>
      <w:pPr>
        <w:spacing w:after="100" w:before="100"/>
      </w:pPr>
      <w:r>
        <w:rPr>
          <w:rFonts w:ascii="Calibri" w:cs="Calibri" w:eastAsia="Calibri" w:hAnsi="Calibri"/>
          <w:sz w:val="22"/>
          <w:szCs w:val="22"/>
        </w:rPr>
        <w:t xml:space="preserve">Two standards under this page deal with the Databricks-specific implementation of risk data:</w:t>
      </w:r>
    </w:p>
    <w:p>
      <w:pPr>
        <w:pStyle w:val="ListParagraph"/>
        <w:numPr>
          <w:ilvl w:val="0"/>
          <w:numId w:val="2"/>
        </w:numPr>
        <w:spacing w:after="50" w:before="50"/>
      </w:pPr>
      <w:r>
        <w:rPr>
          <w:sz w:val="22"/>
          <w:szCs w:val="22"/>
        </w:rPr>
        <w:t xml:space="preserve">Schema &amp; Catalog Design — how catalogs and schemas are laid out, table naming conventions, who can consume from where</w:t>
      </w:r>
    </w:p>
    <w:p>
      <w:pPr>
        <w:pStyle w:val="ListParagraph"/>
        <w:numPr>
          <w:ilvl w:val="0"/>
          <w:numId w:val="2"/>
        </w:numPr>
        <w:spacing w:after="50" w:before="50"/>
      </w:pPr>
      <w:r>
        <w:rPr>
          <w:sz w:val="22"/>
          <w:szCs w:val="22"/>
        </w:rPr>
        <w:t xml:space="preserve">UC Tag Standards — what tags get applied at the app layer, column layer, and semantic layer</w:t>
      </w:r>
    </w:p>
    <w:p>
      <w:pPr>
        <w:spacing w:after="100" w:before="100"/>
      </w:pPr>
      <w:r>
        <w:rPr>
          <w:rFonts w:ascii="Calibri" w:cs="Calibri" w:eastAsia="Calibri" w:hAnsi="Calibri"/>
          <w:sz w:val="22"/>
          <w:szCs w:val="22"/>
        </w:rPr>
        <w:t xml:space="preserve">Both standards are deliberately scoped to the Databricks implementation. The architecture, modeling, contract, and naming standards live elsewhere because they're not platform-specific — they'd apply regardless of whether the platform was Databricks, Snowflake, or anything else.</w:t>
      </w:r>
    </w:p>
    <w:p>
      <w:pPr>
        <w:spacing w:after="100" w:before="100"/>
      </w:pPr>
      <w:r>
        <w:rPr>
          <w:rFonts w:ascii="Calibri" w:cs="Calibri" w:eastAsia="Calibri" w:hAnsi="Calibri"/>
          <w:sz w:val="22"/>
          <w:szCs w:val="22"/>
        </w:rPr>
        <w:t xml:space="preserve">When platform direction changes (it won't, but if it did), these are the standards that would need rework. The rest of the operating model stays as is.</w:t>
      </w:r>
    </w:p>
    <w:p>
      <w:pPr>
        <w:pStyle w:val="Heading2"/>
        <w:spacing w:after="140" w:before="280"/>
      </w:pPr>
      <w:r>
        <w:rPr>
          <w:b/>
          <w:bCs/>
          <w:color w:val="176B2C"/>
          <w:sz w:val="26"/>
          <w:szCs w:val="26"/>
        </w:rPr>
        <w:t xml:space="preserve">Where to go from here</w:t>
      </w:r>
    </w:p>
    <w:p>
      <w:pPr>
        <w:pStyle w:val="ListParagraph"/>
        <w:numPr>
          <w:ilvl w:val="0"/>
          <w:numId w:val="2"/>
        </w:numPr>
        <w:spacing w:after="50" w:before="50"/>
      </w:pPr>
      <w:r>
        <w:rPr>
          <w:sz w:val="22"/>
          <w:szCs w:val="22"/>
        </w:rPr>
        <w:t xml:space="preserve">5.1 Schema &amp; Catalog Design — catalog layout and table naming</w:t>
      </w:r>
    </w:p>
    <w:p>
      <w:pPr>
        <w:pStyle w:val="ListParagraph"/>
        <w:numPr>
          <w:ilvl w:val="0"/>
          <w:numId w:val="2"/>
        </w:numPr>
        <w:spacing w:after="50" w:before="50"/>
      </w:pPr>
      <w:r>
        <w:rPr>
          <w:sz w:val="22"/>
          <w:szCs w:val="22"/>
        </w:rPr>
        <w:t xml:space="preserve">5.2 UC Tag Standards — tag inventory and rules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5. Databricks Platform Standards</w:t>
            </w:r>
          </w:p>
          <w:p>
            <w:r>
              <w:rPr>
                <w:b/>
                <w:bCs/>
                <w:color w:val="FFFFFF"/>
                <w:sz w:val="32"/>
                <w:szCs w:val="32"/>
              </w:rPr>
              <w:t xml:space="preserve">↳ 5.1 Schema &amp; Catalog Design</w:t>
            </w:r>
          </w:p>
        </w:tc>
      </w:tr>
    </w:tbl>
    <w:p>
      <w:pPr>
        <w:spacing w:after="280" w:before="100"/>
        <w:jc w:val="center"/>
      </w:pPr>
      <w:r>
        <w:rPr>
          <w:b/>
          <w:bCs/>
          <w:color w:val="176B2C"/>
          <w:sz w:val="40"/>
          <w:szCs w:val="40"/>
        </w:rPr>
        <w:t xml:space="preserve">Schema &amp; Catalog Design</w:t>
      </w:r>
    </w:p>
    <w:p>
      <w:pPr>
        <w:spacing w:after="280"/>
        <w:jc w:val="center"/>
      </w:pPr>
      <w:r>
        <w:rPr>
          <w:i/>
          <w:iCs/>
          <w:color w:val="595959"/>
          <w:sz w:val="22"/>
          <w:szCs w:val="22"/>
        </w:rPr>
        <w:t xml:space="preserve">The canonical layout of catalogs and schemas in Databricks for Risk</w:t>
      </w:r>
    </w:p>
    <w:p>
      <w:pPr>
        <w:spacing w:after="100" w:before="100"/>
      </w:pPr>
      <w:r>
        <w:rPr>
          <w:rFonts w:ascii="Calibri" w:cs="Calibri" w:eastAsia="Calibri" w:hAnsi="Calibri"/>
          <w:i/>
          <w:iCs/>
          <w:color w:val="595959"/>
          <w:sz w:val="22"/>
          <w:szCs w:val="22"/>
        </w:rPr>
        <w:t xml:space="preserve">Authority. Risk Data Team owns the layout standard. TDVIP Infra provisions catalogs and schemas. PG Leaders are catalog owners.</w:t>
      </w:r>
    </w:p>
    <w:p>
      <w:pPr>
        <w:pStyle w:val="Heading2"/>
        <w:spacing w:after="140" w:before="280"/>
      </w:pPr>
      <w:r>
        <w:rPr>
          <w:b/>
          <w:bCs/>
          <w:color w:val="176B2C"/>
          <w:sz w:val="26"/>
          <w:szCs w:val="26"/>
        </w:rPr>
        <w:t xml:space="preserve">Catalogs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500"/>
        <w:gridCol w:w="2100"/>
      </w:tblGrid>
      <w:tr>
        <w:trPr>
          <w:tblHeader/>
        </w:trPr>
        <w:tc>
          <w:tcPr>
            <w:tcW w:type="dxa" w:w="24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Catalog</w:t>
            </w:r>
          </w:p>
        </w:tc>
        <w:tc>
          <w:tcPr>
            <w:tcW w:type="dxa" w:w="33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Purpose</w:t>
            </w:r>
          </w:p>
        </w:tc>
        <w:tc>
          <w:tcPr>
            <w:tcW w:type="dxa" w:w="15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Owner</w:t>
            </w:r>
          </w:p>
        </w:tc>
        <w:tc>
          <w:tcPr>
            <w:tcW w:type="dxa" w:w="21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Consumer access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creditrisk, marketrisk, liquidity, finance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One catalog per Product Group. Holds app schemas and the PG conformed schema.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PG Leaders</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Internal to the PG; not the consumer entry point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riskwh</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Risk Warehouse. Data products, star schemas, 360 patterns, semantic layer, sandbox.</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Risk Data</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Single point of consumption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risk_governance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Governance metadata. Contract registry, consumer registry, tag reference, lineage extensions.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Risk Data</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Read-only for App teams, PG Leaders, Central</w:t>
            </w:r>
          </w:p>
        </w:tc>
      </w:tr>
    </w:tbl>
    <w:p>
      <w:pPr>
        <w:spacing w:after="160"/>
      </w:pPr>
      <w:r>
        <w:t xml:space="preserve"> </w:t>
      </w:r>
    </w:p>
    <w:p>
      <w:pPr>
        <w:pStyle w:val="Heading2"/>
        <w:spacing w:after="140" w:before="280"/>
      </w:pPr>
      <w:r>
        <w:rPr>
          <w:b/>
          <w:bCs/>
          <w:color w:val="176B2C"/>
          <w:sz w:val="26"/>
          <w:szCs w:val="26"/>
        </w:rPr>
        <w:t xml:space="preserve">Schemas inside each PG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color="auto" w:val="clear"/>
            <w:tcMar>
              <w:top w:type="dxa" w:w="120"/>
              <w:left w:type="dxa" w:w="160"/>
              <w:bottom w:type="dxa" w:w="120"/>
              <w:right w:type="dxa" w:w="160"/>
            </w:tcMar>
          </w:tcPr>
          <w:p>
            <w:pPr>
              <w:spacing w:after="0" w:before="0"/>
            </w:pPr>
            <w:r>
              <w:rPr>
                <w:rFonts w:ascii="Consolas" w:cs="Consolas" w:eastAsia="Consolas" w:hAnsi="Consolas"/>
                <w:color w:val="1F4E78"/>
                <w:sz w:val="18"/>
                <w:szCs w:val="18"/>
              </w:rPr>
              <w:t xml:space="preserve">&lt;pg&gt;.&lt;app_name&gt;           -- primary app schema (e.g., creditrisk.xvala)</w:t>
            </w:r>
          </w:p>
          <w:p>
            <w:pPr>
              <w:spacing w:after="0" w:before="0"/>
            </w:pPr>
            <w:r>
              <w:rPr>
                <w:rFonts w:ascii="Consolas" w:cs="Consolas" w:eastAsia="Consolas" w:hAnsi="Consolas"/>
                <w:color w:val="1F4E78"/>
                <w:sz w:val="18"/>
                <w:szCs w:val="18"/>
              </w:rPr>
              <w:t xml:space="preserve">&lt;pg&gt;.&lt;app_name&gt;_archive   -- archival</w:t>
            </w:r>
          </w:p>
          <w:p>
            <w:pPr>
              <w:spacing w:after="0" w:before="0"/>
            </w:pPr>
            <w:r>
              <w:rPr>
                <w:rFonts w:ascii="Consolas" w:cs="Consolas" w:eastAsia="Consolas" w:hAnsi="Consolas"/>
                <w:color w:val="1F4E78"/>
                <w:sz w:val="18"/>
                <w:szCs w:val="18"/>
              </w:rPr>
              <w:t xml:space="preserve">&lt;pg&gt;.&lt;app_name&gt;_quarantine -- DQ-failed records</w:t>
            </w:r>
          </w:p>
          <w:p>
            <w:pPr>
              <w:spacing w:after="0" w:before="0"/>
            </w:pPr>
            <w:r>
              <w:rPr>
                <w:rFonts w:ascii="Consolas" w:cs="Consolas" w:eastAsia="Consolas" w:hAnsi="Consolas"/>
                <w:color w:val="1F4E78"/>
                <w:sz w:val="18"/>
                <w:szCs w:val="18"/>
              </w:rPr>
              <w:t xml:space="preserve">&lt;pg&gt;.conformed            -- PG conformed schema (resolved dims, enriched CDM entities)</w:t>
            </w:r>
          </w:p>
          <w:p>
            <w:pPr>
              <w:spacing w:after="0" w:before="0"/>
            </w:pPr>
            <w:r>
              <w:rPr>
                <w:rFonts w:ascii="Consolas" w:cs="Consolas" w:eastAsia="Consolas" w:hAnsi="Consolas"/>
                <w:color w:val="1F4E78"/>
                <w:sz w:val="18"/>
                <w:szCs w:val="18"/>
              </w:rPr>
              <w:t xml:space="preserve">&lt;pg&gt;.sandbox              -- exploration</w:t>
            </w:r>
          </w:p>
        </w:tc>
      </w:tr>
    </w:tbl>
    <w:p>
      <w:pPr>
        <w:pStyle w:val="Heading2"/>
        <w:spacing w:after="140" w:before="280"/>
      </w:pPr>
      <w:r>
        <w:rPr>
          <w:b/>
          <w:bCs/>
          <w:color w:val="176B2C"/>
          <w:sz w:val="26"/>
          <w:szCs w:val="26"/>
        </w:rPr>
        <w:t xml:space="preserve">Schemas inside riskwh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color="auto" w:val="clear"/>
            <w:tcMar>
              <w:top w:type="dxa" w:w="120"/>
              <w:left w:type="dxa" w:w="160"/>
              <w:bottom w:type="dxa" w:w="120"/>
              <w:right w:type="dxa" w:w="160"/>
            </w:tcMar>
          </w:tcPr>
          <w:p>
            <w:pPr>
              <w:spacing w:after="0" w:before="0"/>
            </w:pPr>
            <w:r>
              <w:rPr>
                <w:rFonts w:ascii="Consolas" w:cs="Consolas" w:eastAsia="Consolas" w:hAnsi="Consolas"/>
                <w:color w:val="1F4E78"/>
                <w:sz w:val="18"/>
                <w:szCs w:val="18"/>
              </w:rPr>
              <w:t xml:space="preserve">riskwh.silver       -- staging for analytics-layer build (pre-product)</w:t>
            </w:r>
          </w:p>
          <w:p>
            <w:pPr>
              <w:spacing w:after="0" w:before="0"/>
            </w:pPr>
            <w:r>
              <w:rPr>
                <w:rFonts w:ascii="Consolas" w:cs="Consolas" w:eastAsia="Consolas" w:hAnsi="Consolas"/>
                <w:color w:val="1F4E78"/>
                <w:sz w:val="18"/>
                <w:szCs w:val="18"/>
              </w:rPr>
              <w:t xml:space="preserve">riskwh.gold         -- curated data products (physical, contracted)</w:t>
            </w:r>
          </w:p>
          <w:p>
            <w:pPr>
              <w:spacing w:after="0" w:before="0"/>
            </w:pPr>
            <w:r>
              <w:rPr>
                <w:rFonts w:ascii="Consolas" w:cs="Consolas" w:eastAsia="Consolas" w:hAnsi="Consolas"/>
                <w:color w:val="1F4E78"/>
                <w:sz w:val="18"/>
                <w:szCs w:val="18"/>
              </w:rPr>
              <w:t xml:space="preserve">riskwh.sandbox      -- exploration; not contracted; not consumed by ops</w:t>
            </w:r>
          </w:p>
          <w:p>
            <w:pPr>
              <w:spacing w:after="0" w:before="0"/>
            </w:pPr>
            <w:r>
              <w:rPr>
                <w:rFonts w:ascii="Consolas" w:cs="Consolas" w:eastAsia="Consolas" w:hAnsi="Consolas"/>
                <w:color w:val="1F4E78"/>
                <w:sz w:val="18"/>
                <w:szCs w:val="18"/>
              </w:rPr>
              <w:t xml:space="preserve">riskwh.semantic     -- semantic layer definitions</w:t>
            </w:r>
          </w:p>
        </w:tc>
      </w:tr>
    </w:tbl>
    <w:p>
      <w:pPr>
        <w:pStyle w:val="Heading2"/>
        <w:spacing w:after="140" w:before="280"/>
      </w:pPr>
      <w:r>
        <w:rPr>
          <w:b/>
          <w:bCs/>
          <w:color w:val="176B2C"/>
          <w:sz w:val="26"/>
          <w:szCs w:val="26"/>
        </w:rPr>
        <w:t xml:space="preserve">Table naming inside the analytics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color="auto" w:val="clear"/>
            <w:tcMar>
              <w:top w:type="dxa" w:w="120"/>
              <w:left w:type="dxa" w:w="160"/>
              <w:bottom w:type="dxa" w:w="120"/>
              <w:right w:type="dxa" w:w="160"/>
            </w:tcMar>
          </w:tcPr>
          <w:p>
            <w:pPr>
              <w:spacing w:after="0" w:before="0"/>
            </w:pPr>
            <w:r>
              <w:rPr>
                <w:rFonts w:ascii="Consolas" w:cs="Consolas" w:eastAsia="Consolas" w:hAnsi="Consolas"/>
                <w:color w:val="1F4E78"/>
                <w:sz w:val="18"/>
                <w:szCs w:val="18"/>
              </w:rPr>
              <w:t xml:space="preserve">fact_&lt;entity&gt;_&lt;measure&gt;           -- atomic primary fact, e.g., fact_exposure</w:t>
            </w:r>
          </w:p>
          <w:p>
            <w:pPr>
              <w:spacing w:after="0" w:before="0"/>
            </w:pPr>
            <w:r>
              <w:rPr>
                <w:rFonts w:ascii="Consolas" w:cs="Consolas" w:eastAsia="Consolas" w:hAnsi="Consolas"/>
                <w:color w:val="1F4E78"/>
                <w:sz w:val="18"/>
                <w:szCs w:val="18"/>
              </w:rPr>
              <w:t xml:space="preserve">dim_&lt;entity&gt;                      -- dimension, e.g., dim_counterparty</w:t>
            </w:r>
          </w:p>
          <w:p>
            <w:pPr>
              <w:spacing w:after="0" w:before="0"/>
            </w:pPr>
            <w:r>
              <w:rPr>
                <w:rFonts w:ascii="Consolas" w:cs="Consolas" w:eastAsia="Consolas" w:hAnsi="Consolas"/>
                <w:color w:val="1F4E78"/>
                <w:sz w:val="18"/>
                <w:szCs w:val="18"/>
              </w:rPr>
              <w:t xml:space="preserve">&lt;entity&gt;_&lt;purpose&gt;_summary        -- curated summary, e.g., cp_risk_summary</w:t>
            </w:r>
          </w:p>
          <w:p>
            <w:pPr>
              <w:spacing w:after="0" w:before="0"/>
            </w:pPr>
            <w:r>
              <w:rPr>
                <w:rFonts w:ascii="Consolas" w:cs="Consolas" w:eastAsia="Consolas" w:hAnsi="Consolas"/>
                <w:color w:val="1F4E78"/>
                <w:sz w:val="18"/>
                <w:szCs w:val="18"/>
              </w:rPr>
              <w:t xml:space="preserve">&lt;entity&gt;_&lt;purpose&gt;_360            -- 360-style products, e.g., counterparty_risk_360</w:t>
            </w:r>
          </w:p>
          <w:p>
            <w:pPr>
              <w:spacing w:after="0" w:before="0"/>
            </w:pPr>
            <w:r>
              <w:rPr>
                <w:rFonts w:ascii="Consolas" w:cs="Consolas" w:eastAsia="Consolas" w:hAnsi="Consolas"/>
                <w:color w:val="1F4E78"/>
                <w:sz w:val="18"/>
                <w:szCs w:val="18"/>
              </w:rPr>
              <w:t xml:space="preserve">report_&lt;consumer&gt;_&lt;purpose&gt;       -- reporting, e.g., report_basel_sa_ccr</w:t>
            </w:r>
          </w:p>
        </w:tc>
      </w:tr>
    </w:tbl>
    <w:p>
      <w:pPr>
        <w:pStyle w:val="Heading2"/>
        <w:spacing w:after="140" w:before="280"/>
      </w:pPr>
      <w:r>
        <w:rPr>
          <w:b/>
          <w:bCs/>
          <w:color w:val="176B2C"/>
          <w:sz w:val="26"/>
          <w:szCs w:val="26"/>
        </w:rPr>
        <w:t xml:space="preserve">Consumer access policy</w:t>
      </w:r>
    </w:p>
    <w:p>
      <w:pPr>
        <w:spacing w:after="100" w:before="100"/>
      </w:pPr>
      <w:r>
        <w:rPr>
          <w:rFonts w:ascii="Calibri" w:cs="Calibri" w:eastAsia="Calibri" w:hAnsi="Calibri"/>
          <w:sz w:val="22"/>
          <w:szCs w:val="22"/>
        </w:rPr>
        <w:t xml:space="preserve">Consumers (BI tools, dashboards, ad-hoc queries) connect to riskwh only. Direct consumer connections to app-zone catalogs (creditrisk.&lt;app&gt;, etc.) are not supported.</w:t>
      </w:r>
    </w:p>
    <w:p>
      <w:pPr>
        <w:spacing w:after="100" w:before="100"/>
      </w:pPr>
      <w:r>
        <w:rPr>
          <w:rFonts w:ascii="Calibri" w:cs="Calibri" w:eastAsia="Calibri" w:hAnsi="Calibri"/>
          <w:sz w:val="22"/>
          <w:szCs w:val="22"/>
        </w:rPr>
        <w:t xml:space="preserve">When a consumer is found connecting to an app schema:</w:t>
      </w:r>
    </w:p>
    <w:p>
      <w:pPr>
        <w:pStyle w:val="ListParagraph"/>
        <w:numPr>
          <w:ilvl w:val="0"/>
          <w:numId w:val="2"/>
        </w:numPr>
        <w:spacing w:after="50" w:before="50"/>
      </w:pPr>
      <w:r>
        <w:rPr>
          <w:sz w:val="22"/>
          <w:szCs w:val="22"/>
        </w:rPr>
        <w:t xml:space="preserve">Acknowledge the work</w:t>
      </w:r>
    </w:p>
    <w:p>
      <w:pPr>
        <w:pStyle w:val="ListParagraph"/>
        <w:numPr>
          <w:ilvl w:val="0"/>
          <w:numId w:val="2"/>
        </w:numPr>
        <w:spacing w:after="50" w:before="50"/>
      </w:pPr>
      <w:r>
        <w:rPr>
          <w:sz w:val="22"/>
          <w:szCs w:val="22"/>
        </w:rPr>
        <w:t xml:space="preserve">Identify what to promote into the analytics layer (raise via Jira intake — Page 4.1)</w:t>
      </w:r>
    </w:p>
    <w:p>
      <w:pPr>
        <w:pStyle w:val="ListParagraph"/>
        <w:numPr>
          <w:ilvl w:val="0"/>
          <w:numId w:val="2"/>
        </w:numPr>
        <w:spacing w:after="50" w:before="50"/>
      </w:pPr>
      <w:r>
        <w:rPr>
          <w:sz w:val="22"/>
          <w:szCs w:val="22"/>
        </w:rPr>
        <w:t xml:space="preserve">Re-point the consumer to the analytics product once it exists</w:t>
      </w:r>
    </w:p>
    <w:p>
      <w:pPr>
        <w:pStyle w:val="Heading2"/>
        <w:spacing w:after="140" w:before="280"/>
      </w:pPr>
      <w:r>
        <w:rPr>
          <w:b/>
          <w:bCs/>
          <w:color w:val="176B2C"/>
          <w:sz w:val="26"/>
          <w:szCs w:val="26"/>
        </w:rPr>
        <w:t xml:space="preserve">Where to go from here</w:t>
      </w:r>
    </w:p>
    <w:p>
      <w:pPr>
        <w:pStyle w:val="ListParagraph"/>
        <w:numPr>
          <w:ilvl w:val="0"/>
          <w:numId w:val="2"/>
        </w:numPr>
        <w:spacing w:after="50" w:before="50"/>
      </w:pPr>
      <w:r>
        <w:rPr>
          <w:sz w:val="22"/>
          <w:szCs w:val="22"/>
        </w:rPr>
        <w:t xml:space="preserve">Parent page: Databricks Platform Standards</w:t>
      </w:r>
    </w:p>
    <w:p>
      <w:pPr>
        <w:pStyle w:val="ListParagraph"/>
        <w:numPr>
          <w:ilvl w:val="0"/>
          <w:numId w:val="2"/>
        </w:numPr>
        <w:spacing w:after="50" w:before="50"/>
      </w:pPr>
      <w:r>
        <w:rPr>
          <w:sz w:val="22"/>
          <w:szCs w:val="22"/>
        </w:rPr>
        <w:t xml:space="preserve">5.2 UC Tag Standards — tags applied to tables in these schemas</w:t>
      </w:r>
    </w:p>
    <w:p>
      <w:pPr>
        <w:pStyle w:val="ListParagraph"/>
        <w:numPr>
          <w:ilvl w:val="0"/>
          <w:numId w:val="2"/>
        </w:numPr>
        <w:spacing w:after="50" w:before="50"/>
      </w:pPr>
      <w:r>
        <w:rPr>
          <w:sz w:val="22"/>
          <w:szCs w:val="22"/>
        </w:rPr>
        <w:t xml:space="preserve">Naming Convention Standard (3) — for column-level naming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5. Databricks Platform Standards</w:t>
            </w:r>
          </w:p>
          <w:p>
            <w:r>
              <w:rPr>
                <w:b/>
                <w:bCs/>
                <w:color w:val="FFFFFF"/>
                <w:sz w:val="32"/>
                <w:szCs w:val="32"/>
              </w:rPr>
              <w:t xml:space="preserve">↳ 5.2 UC Tag Standards</w:t>
            </w:r>
          </w:p>
        </w:tc>
      </w:tr>
    </w:tbl>
    <w:p>
      <w:pPr>
        <w:spacing w:after="280" w:before="100"/>
        <w:jc w:val="center"/>
      </w:pPr>
      <w:r>
        <w:rPr>
          <w:b/>
          <w:bCs/>
          <w:color w:val="176B2C"/>
          <w:sz w:val="40"/>
          <w:szCs w:val="40"/>
        </w:rPr>
        <w:t xml:space="preserve">UC Tag Standards</w:t>
      </w:r>
    </w:p>
    <w:p>
      <w:pPr>
        <w:spacing w:after="280"/>
        <w:jc w:val="center"/>
      </w:pPr>
      <w:r>
        <w:rPr>
          <w:i/>
          <w:iCs/>
          <w:color w:val="595959"/>
          <w:sz w:val="22"/>
          <w:szCs w:val="22"/>
        </w:rPr>
        <w:t xml:space="preserve">Unity Catalog tags applied at app-layer, column-layer, and semantic-layer</w:t>
      </w:r>
    </w:p>
    <w:p>
      <w:pPr>
        <w:spacing w:after="100" w:before="100"/>
      </w:pPr>
      <w:r>
        <w:rPr>
          <w:rFonts w:ascii="Calibri" w:cs="Calibri" w:eastAsia="Calibri" w:hAnsi="Calibri"/>
          <w:i/>
          <w:iCs/>
          <w:color w:val="595959"/>
          <w:sz w:val="22"/>
          <w:szCs w:val="22"/>
        </w:rPr>
        <w:t xml:space="preserve">Authority. Risk Data Team owns the tag standard. App Owners apply app-layer tags. Engineers apply column-layer tags at conformance. CI projects contract YAML into product-layer tags. The semantic-layer object carries its own tags.</w:t>
      </w:r>
    </w:p>
    <w:p>
      <w:pPr>
        <w:spacing w:after="100" w:before="100"/>
      </w:pPr>
      <w:r>
        <w:rPr>
          <w:rFonts w:ascii="Calibri" w:cs="Calibri" w:eastAsia="Calibri" w:hAnsi="Calibri"/>
          <w:i/>
          <w:iCs/>
          <w:color w:val="595959"/>
          <w:sz w:val="22"/>
          <w:szCs w:val="22"/>
        </w:rPr>
        <w:t xml:space="preserve">Companion artifact. uc_metadata_standards_v5_1.xlsx on the Operating Model &amp; Standards landing page contains the full tag inventory across all four sheets — Rationale, App-layer tags, Column-level standards, Semantic-layer tags.</w:t>
      </w:r>
    </w:p>
    <w:p>
      <w:pPr>
        <w:pStyle w:val="Heading2"/>
        <w:spacing w:after="140" w:before="280"/>
      </w:pPr>
      <w:r>
        <w:rPr>
          <w:b/>
          <w:bCs/>
          <w:color w:val="176B2C"/>
          <w:sz w:val="26"/>
          <w:szCs w:val="26"/>
        </w:rPr>
        <w:t xml:space="preserve">The four-sheet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100"/>
      </w:tblGrid>
      <w:tr>
        <w:trPr>
          <w:tblHeader/>
        </w:trPr>
        <w:tc>
          <w:tcPr>
            <w:tcW w:type="dxa" w:w="22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Sheet</w:t>
            </w:r>
          </w:p>
        </w:tc>
        <w:tc>
          <w:tcPr>
            <w:tcW w:type="dxa" w:w="50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What it covers</w:t>
            </w:r>
          </w:p>
        </w:tc>
        <w:tc>
          <w:tcPr>
            <w:tcW w:type="dxa" w:w="21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Who applies the tags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1. Rationale</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Why we tag, the namespace rule, the four bare exceptions, authoring flow note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2. App-layer tags</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Tags on tables in app schemas (creditrisk.cmos, etc.). 8 tags.</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App Owners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3. Column-level standards</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DDL constraints, COMMENTs, column tags. Includes identity.* (business_name, short_name, alias)</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Engineers at conformance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4. Semantic-layer tags</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Tags on semantic-layer objects in riskwh.semantic. 5 own tags plus inherited.</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Engineers + Data Product Owners</w:t>
            </w:r>
          </w:p>
        </w:tc>
      </w:tr>
    </w:tbl>
    <w:p>
      <w:pPr>
        <w:spacing w:after="160"/>
      </w:pPr>
      <w:r>
        <w:t xml:space="preserve"> </w:t>
      </w:r>
    </w:p>
    <w:p>
      <w:pPr>
        <w:pStyle w:val="Heading2"/>
        <w:spacing w:after="140" w:before="280"/>
      </w:pPr>
      <w:r>
        <w:rPr>
          <w:b/>
          <w:bCs/>
          <w:color w:val="176B2C"/>
          <w:sz w:val="26"/>
          <w:szCs w:val="26"/>
        </w:rPr>
        <w:t xml:space="preserve">The namespace rule</w:t>
      </w:r>
    </w:p>
    <w:p>
      <w:pPr>
        <w:spacing w:after="100" w:before="100"/>
      </w:pPr>
      <w:r>
        <w:rPr>
          <w:rFonts w:ascii="Calibri" w:cs="Calibri" w:eastAsia="Calibri" w:hAnsi="Calibri"/>
          <w:sz w:val="22"/>
          <w:szCs w:val="22"/>
        </w:rPr>
        <w:t xml:space="preserve">All UC tag keys use dotted-namespace form (class.*, owner.*, source.*, contract.*, refresh.*, collibra.*, identity.*, semantic.*, glossary.*, column.*) EXCEPT four bare keys that are heavily filtered and benefit from brevity:</w:t>
      </w:r>
    </w:p>
    <w:p>
      <w:pPr>
        <w:spacing w:after="100" w:before="100"/>
      </w:pPr>
      <w:r>
        <w:rPr>
          <w:rFonts w:ascii="Consolas" w:cs="Consolas" w:eastAsia="Consolas" w:hAnsi="Consolas"/>
          <w:b/>
          <w:bCs/>
          <w:color w:val="1F4E78"/>
          <w:sz w:val="22"/>
          <w:szCs w:val="22"/>
        </w:rPr>
        <w:t xml:space="preserve">capability  ·  archetype  ·  shape  ·  status</w:t>
      </w:r>
    </w:p>
    <w:p>
      <w:pPr>
        <w:spacing w:after="100" w:before="100"/>
      </w:pPr>
      <w:r>
        <w:rPr>
          <w:rFonts w:ascii="Calibri" w:cs="Calibri" w:eastAsia="Calibri" w:hAnsi="Calibri"/>
          <w:sz w:val="22"/>
          <w:szCs w:val="22"/>
        </w:rPr>
        <w:t xml:space="preserve">These four are the top-level classifiers used most often in catalog filters, dashboards, and policies. Brevity matters for them. Every other tag follows the namespace rule including contract.grain.</w:t>
      </w:r>
    </w:p>
    <w:p>
      <w:pPr>
        <w:pStyle w:val="Heading2"/>
        <w:spacing w:after="140" w:before="280"/>
      </w:pPr>
      <w:r>
        <w:rPr>
          <w:b/>
          <w:bCs/>
          <w:color w:val="176B2C"/>
          <w:sz w:val="26"/>
          <w:szCs w:val="26"/>
        </w:rPr>
        <w:t xml:space="preserve">Authoring flow</w:t>
      </w:r>
    </w:p>
    <w:p>
      <w:pPr>
        <w:spacing w:after="100" w:before="100"/>
      </w:pPr>
      <w:r>
        <w:rPr>
          <w:rFonts w:ascii="Calibri" w:cs="Calibri" w:eastAsia="Calibri" w:hAnsi="Calibri"/>
          <w:sz w:val="22"/>
          <w:szCs w:val="22"/>
        </w:rPr>
        <w:t xml:space="preserve">Tags fall into three authoring flows depending on who is the source of truth — see the Authoring Flows page (Page 6) for the full model. Briefly:</w:t>
      </w:r>
    </w:p>
    <w:p>
      <w:pPr>
        <w:pStyle w:val="ListParagraph"/>
        <w:numPr>
          <w:ilvl w:val="0"/>
          <w:numId w:val="2"/>
        </w:numPr>
        <w:spacing w:after="50" w:before="50"/>
      </w:pPr>
      <w:r>
        <w:rPr>
          <w:sz w:val="22"/>
          <w:szCs w:val="22"/>
        </w:rPr>
        <w:t xml:space="preserve">Engineer-authored — source.*, identity.*, class.pii (from auto-classification), status on lifecycle changes</w:t>
      </w:r>
    </w:p>
    <w:p>
      <w:pPr>
        <w:pStyle w:val="ListParagraph"/>
        <w:numPr>
          <w:ilvl w:val="0"/>
          <w:numId w:val="2"/>
        </w:numPr>
        <w:spacing w:after="50" w:before="50"/>
      </w:pPr>
      <w:r>
        <w:rPr>
          <w:sz w:val="22"/>
          <w:szCs w:val="22"/>
        </w:rPr>
        <w:t xml:space="preserve">Product-Owner-authored (via contract YAML, projected by CI) — capability, archetype, contract.*, owner.*, refresh.*</w:t>
      </w:r>
    </w:p>
    <w:p>
      <w:pPr>
        <w:pStyle w:val="ListParagraph"/>
        <w:numPr>
          <w:ilvl w:val="0"/>
          <w:numId w:val="2"/>
        </w:numPr>
        <w:spacing w:after="50" w:before="50"/>
      </w:pPr>
      <w:r>
        <w:rPr>
          <w:sz w:val="22"/>
          <w:szCs w:val="22"/>
        </w:rPr>
        <w:t xml:space="preserve">Inherited from upstream — when a product is foundational, source.*, class.* inherit from the app layer</w:t>
      </w:r>
    </w:p>
    <w:p>
      <w:pPr>
        <w:pStyle w:val="Heading2"/>
        <w:spacing w:after="140" w:before="280"/>
      </w:pPr>
      <w:r>
        <w:rPr>
          <w:b/>
          <w:bCs/>
          <w:color w:val="176B2C"/>
          <w:sz w:val="26"/>
          <w:szCs w:val="26"/>
        </w:rPr>
        <w:t xml:space="preserve">Product-layer tags</w:t>
      </w:r>
    </w:p>
    <w:p>
      <w:pPr>
        <w:spacing w:after="100" w:before="100"/>
      </w:pPr>
      <w:r>
        <w:rPr>
          <w:rFonts w:ascii="Calibri" w:cs="Calibri" w:eastAsia="Calibri" w:hAnsi="Calibri"/>
          <w:sz w:val="22"/>
          <w:szCs w:val="22"/>
        </w:rPr>
        <w:t xml:space="preserve">Previous versions had a separate 'Product-layer tags' sheet. As of v5.1 it's removed — product attributes are documented in the Data Contract Attribute Spec (data_contract_attribute_spec_v6_1.xlsx) instead. Filter the UC tag column to see which contract attributes surface as Unity Catalog tags. This avoids duplication between the two artifacts.</w:t>
      </w:r>
    </w:p>
    <w:p>
      <w:pPr>
        <w:pStyle w:val="Heading2"/>
        <w:spacing w:after="140" w:before="280"/>
      </w:pPr>
      <w:r>
        <w:rPr>
          <w:b/>
          <w:bCs/>
          <w:color w:val="176B2C"/>
          <w:sz w:val="26"/>
          <w:szCs w:val="26"/>
        </w:rPr>
        <w:t xml:space="preserve">Where to go from here</w:t>
      </w:r>
    </w:p>
    <w:p>
      <w:pPr>
        <w:pStyle w:val="ListParagraph"/>
        <w:numPr>
          <w:ilvl w:val="0"/>
          <w:numId w:val="2"/>
        </w:numPr>
        <w:spacing w:after="50" w:before="50"/>
      </w:pPr>
      <w:r>
        <w:rPr>
          <w:sz w:val="22"/>
          <w:szCs w:val="22"/>
        </w:rPr>
        <w:t xml:space="preserve">Parent page: Databricks Platform Standards</w:t>
      </w:r>
    </w:p>
    <w:p>
      <w:pPr>
        <w:pStyle w:val="ListParagraph"/>
        <w:numPr>
          <w:ilvl w:val="0"/>
          <w:numId w:val="2"/>
        </w:numPr>
        <w:spacing w:after="50" w:before="50"/>
      </w:pPr>
      <w:r>
        <w:rPr>
          <w:sz w:val="22"/>
          <w:szCs w:val="22"/>
        </w:rPr>
        <w:t xml:space="preserve">5.1 Schema &amp; Catalog Design — for the catalog and schema layout these tags sit on</w:t>
      </w:r>
    </w:p>
    <w:p>
      <w:pPr>
        <w:pStyle w:val="ListParagraph"/>
        <w:numPr>
          <w:ilvl w:val="0"/>
          <w:numId w:val="2"/>
        </w:numPr>
        <w:spacing w:after="50" w:before="50"/>
      </w:pPr>
      <w:r>
        <w:rPr>
          <w:sz w:val="22"/>
          <w:szCs w:val="22"/>
        </w:rPr>
        <w:t xml:space="preserve">Authoring Flows (6) — for the full who-authors-what model</w:t>
      </w:r>
    </w:p>
    <w:p>
      <w:pPr>
        <w:pStyle w:val="ListParagraph"/>
        <w:numPr>
          <w:ilvl w:val="0"/>
          <w:numId w:val="2"/>
        </w:numPr>
        <w:spacing w:after="50" w:before="50"/>
      </w:pPr>
      <w:r>
        <w:rPr>
          <w:sz w:val="22"/>
          <w:szCs w:val="22"/>
        </w:rPr>
        <w:t xml:space="preserve">Naming Convention Standard (3) — for identity.* tag semantics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Risk Data — Operating Model &amp; Standards</w:t>
            </w:r>
          </w:p>
          <w:p>
            <w:r>
              <w:rPr>
                <w:b/>
                <w:bCs/>
                <w:color w:val="FFFFFF"/>
                <w:sz w:val="32"/>
                <w:szCs w:val="32"/>
              </w:rPr>
              <w:t xml:space="preserve">↳ 6. Authoring Flows</w:t>
            </w:r>
          </w:p>
        </w:tc>
      </w:tr>
    </w:tbl>
    <w:p>
      <w:pPr>
        <w:spacing w:after="280" w:before="100"/>
        <w:jc w:val="center"/>
      </w:pPr>
      <w:r>
        <w:rPr>
          <w:b/>
          <w:bCs/>
          <w:color w:val="176B2C"/>
          <w:sz w:val="40"/>
          <w:szCs w:val="40"/>
        </w:rPr>
        <w:t xml:space="preserve">Authoring Flows</w:t>
      </w:r>
    </w:p>
    <w:p>
      <w:pPr>
        <w:spacing w:after="280"/>
        <w:jc w:val="center"/>
      </w:pPr>
      <w:r>
        <w:rPr>
          <w:i/>
          <w:iCs/>
          <w:color w:val="595959"/>
          <w:sz w:val="22"/>
          <w:szCs w:val="22"/>
        </w:rPr>
        <w:t xml:space="preserve">Who authors what — Business · Data Product Owner · Engineer</w:t>
      </w:r>
    </w:p>
    <w:p>
      <w:pPr>
        <w:spacing w:after="100" w:before="100"/>
      </w:pPr>
      <w:r>
        <w:rPr>
          <w:rFonts w:ascii="Calibri" w:cs="Calibri" w:eastAsia="Calibri" w:hAnsi="Calibri"/>
          <w:i/>
          <w:iCs/>
          <w:color w:val="595959"/>
          <w:sz w:val="22"/>
          <w:szCs w:val="22"/>
        </w:rPr>
        <w:t xml:space="preserve">Authority. Risk Data Team owns the framework. Each flow has its own authoring role and tooling.</w:t>
      </w:r>
    </w:p>
    <w:p>
      <w:pPr>
        <w:spacing w:after="100" w:before="100"/>
      </w:pPr>
      <w:r>
        <w:rPr>
          <w:rFonts w:ascii="Calibri" w:cs="Calibri" w:eastAsia="Calibri" w:hAnsi="Calibri"/>
          <w:i/>
          <w:iCs/>
          <w:color w:val="595959"/>
          <w:sz w:val="22"/>
          <w:szCs w:val="22"/>
        </w:rPr>
        <w:t xml:space="preserve">Companion artifacts. Data Contract Attribute Spec, UC Tag Standards. Both downloadable from the Operating Model &amp; Standards landing page.</w:t>
      </w:r>
    </w:p>
    <w:p>
      <w:pPr>
        <w:pStyle w:val="Heading2"/>
        <w:spacing w:after="140" w:before="280"/>
      </w:pPr>
      <w:r>
        <w:rPr>
          <w:b/>
          <w:bCs/>
          <w:color w:val="176B2C"/>
          <w:sz w:val="26"/>
          <w:szCs w:val="26"/>
        </w:rPr>
        <w:t xml:space="preserve">Why this page exists</w:t>
      </w:r>
    </w:p>
    <w:p>
      <w:pPr>
        <w:spacing w:after="100" w:before="100"/>
      </w:pPr>
      <w:r>
        <w:rPr>
          <w:rFonts w:ascii="Calibri" w:cs="Calibri" w:eastAsia="Calibri" w:hAnsi="Calibri"/>
          <w:sz w:val="22"/>
          <w:szCs w:val="22"/>
        </w:rPr>
        <w:t xml:space="preserve">Metadata about risk data is captured in several places — Unity Catalog tags, contract YAML, modeling tools, Confluence pages. Different attributes flow in different directions depending on who owns the truth about them. Without a clear authoring-flow model, the same attribute might be authored in two places (or in none).</w:t>
      </w:r>
    </w:p>
    <w:p>
      <w:pPr>
        <w:spacing w:after="100" w:before="100"/>
      </w:pPr>
      <w:r>
        <w:rPr>
          <w:rFonts w:ascii="Calibri" w:cs="Calibri" w:eastAsia="Calibri" w:hAnsi="Calibri"/>
          <w:sz w:val="22"/>
          <w:szCs w:val="22"/>
        </w:rPr>
        <w:t xml:space="preserve">Three flows operate in parallel. They aren't sequential and they aren't competing — they describe who is the source of truth for which kind of attribute.</w:t>
      </w:r>
    </w:p>
    <w:p>
      <w:pPr>
        <w:pStyle w:val="Heading2"/>
        <w:spacing w:after="140" w:before="280"/>
      </w:pPr>
      <w:r>
        <w:rPr>
          <w:b/>
          <w:bCs/>
          <w:color w:val="176B2C"/>
          <w:sz w:val="26"/>
          <w:szCs w:val="26"/>
        </w:rPr>
        <w:t xml:space="preserve">The three flows</w:t>
      </w:r>
    </w:p>
    <w:p>
      <w:pPr>
        <w:spacing w:after="100" w:before="100"/>
      </w:pPr>
      <w:r>
        <w:rPr>
          <w:rFonts w:ascii="Calibri" w:cs="Calibri" w:eastAsia="Calibri" w:hAnsi="Calibri"/>
          <w:b/>
          <w:bCs/>
          <w:color w:val="1F4E78"/>
          <w:sz w:val="22"/>
          <w:szCs w:val="22"/>
        </w:rPr>
        <w:t xml:space="preserve">Business / Consumer flow</w:t>
      </w:r>
    </w:p>
    <w:p>
      <w:pPr>
        <w:spacing w:after="100" w:before="100"/>
      </w:pPr>
      <w:r>
        <w:rPr>
          <w:rFonts w:ascii="Calibri" w:cs="Calibri" w:eastAsia="Calibri" w:hAnsi="Calibri"/>
          <w:sz w:val="22"/>
          <w:szCs w:val="22"/>
        </w:rPr>
        <w:t xml:space="preserve">The business team and the data consumers surface demand. They identify gaps in current data, raise intake tickets, define the questions they need answered, and validate finished data products against the original use case. They do not author tags directly. But they are the source of truth for what products and metrics should exist.</w:t>
      </w:r>
    </w:p>
    <w:p>
      <w:pPr>
        <w:spacing w:after="100" w:before="100"/>
      </w:pPr>
      <w:r>
        <w:rPr>
          <w:rFonts w:ascii="Calibri" w:cs="Calibri" w:eastAsia="Calibri" w:hAnsi="Calibri"/>
          <w:i/>
          <w:iCs/>
          <w:color w:val="595959"/>
          <w:sz w:val="22"/>
          <w:szCs w:val="22"/>
        </w:rPr>
        <w:t xml:space="preserve">Authored: intake form content, use-case description, validation feedback. Channeled via: Jira intake, conversation with the Data Product Owner.</w:t>
      </w:r>
    </w:p>
    <w:p>
      <w:pPr>
        <w:spacing w:after="100" w:before="100"/>
      </w:pPr>
      <w:r>
        <w:rPr>
          <w:rFonts w:ascii="Calibri" w:cs="Calibri" w:eastAsia="Calibri" w:hAnsi="Calibri"/>
          <w:b/>
          <w:bCs/>
          <w:color w:val="176B2C"/>
          <w:sz w:val="22"/>
          <w:szCs w:val="22"/>
        </w:rPr>
        <w:t xml:space="preserve">Data Product Owner flow</w:t>
      </w:r>
    </w:p>
    <w:p>
      <w:pPr>
        <w:spacing w:after="100" w:before="100"/>
      </w:pPr>
      <w:r>
        <w:rPr>
          <w:rFonts w:ascii="Calibri" w:cs="Calibri" w:eastAsia="Calibri" w:hAnsi="Calibri"/>
          <w:sz w:val="22"/>
          <w:szCs w:val="22"/>
        </w:rPr>
        <w:t xml:space="preserve">The Data Product Owner is the bridge between business and engineering. They translate consumer needs into data product specifications. They are in active conversation with the consumer and decide which new products to build based on what the consumer really needs. They author the data contract YAML, which is the durable expression of the product. CI projects the contract into UC tags on the physical table.</w:t>
      </w:r>
    </w:p>
    <w:p>
      <w:pPr>
        <w:spacing w:after="100" w:before="100"/>
      </w:pPr>
      <w:r>
        <w:rPr>
          <w:rFonts w:ascii="Calibri" w:cs="Calibri" w:eastAsia="Calibri" w:hAnsi="Calibri"/>
          <w:i/>
          <w:iCs/>
          <w:color w:val="595959"/>
          <w:sz w:val="22"/>
          <w:szCs w:val="22"/>
        </w:rPr>
        <w:t xml:space="preserve">Authored: contract YAML — capability, archetype, contract.alias, owner.*, refresh.*, grain, dimensions, measures, business description, change history. Projected as UC tags by CI.</w:t>
      </w:r>
    </w:p>
    <w:p>
      <w:pPr>
        <w:spacing w:after="100" w:before="100"/>
      </w:pPr>
      <w:r>
        <w:rPr>
          <w:rFonts w:ascii="Calibri" w:cs="Calibri" w:eastAsia="Calibri" w:hAnsi="Calibri"/>
          <w:b/>
          <w:bCs/>
          <w:color w:val="B46F18"/>
          <w:sz w:val="22"/>
          <w:szCs w:val="22"/>
        </w:rPr>
        <w:t xml:space="preserve">Engineer flow</w:t>
      </w:r>
    </w:p>
    <w:p>
      <w:pPr>
        <w:spacing w:after="100" w:before="100"/>
      </w:pPr>
      <w:r>
        <w:rPr>
          <w:rFonts w:ascii="Calibri" w:cs="Calibri" w:eastAsia="Calibri" w:hAnsi="Calibri"/>
          <w:sz w:val="22"/>
          <w:szCs w:val="22"/>
        </w:rPr>
        <w:t xml:space="preserve">Engineering implements products and pipelines. The Engineer owns the operational and technical-mapping tags — the ones that describe physical reality. When conformance is wired up between app schemas and the core layer, the Engineer records the source app's column names as aliases. When a table is deprecated, the Engineer flips the status tag. When auto-classification flags a column as PII, the Engineer reviews and confirms.</w:t>
      </w:r>
    </w:p>
    <w:p>
      <w:pPr>
        <w:spacing w:after="100" w:before="100"/>
      </w:pPr>
      <w:r>
        <w:rPr>
          <w:rFonts w:ascii="Calibri" w:cs="Calibri" w:eastAsia="Calibri" w:hAnsi="Calibri"/>
          <w:i/>
          <w:iCs/>
          <w:color w:val="595959"/>
          <w:sz w:val="22"/>
          <w:szCs w:val="22"/>
        </w:rPr>
        <w:t xml:space="preserve">Authored directly on the object: source.*, identity.alias at column level, class.pii from auto-classification, status on deprecation.</w:t>
      </w:r>
    </w:p>
    <w:p>
      <w:pPr>
        <w:pStyle w:val="Heading2"/>
        <w:spacing w:after="140" w:before="280"/>
      </w:pPr>
      <w:r>
        <w:rPr>
          <w:b/>
          <w:bCs/>
          <w:color w:val="176B2C"/>
          <w:sz w:val="26"/>
          <w:szCs w:val="26"/>
        </w:rPr>
        <w:t xml:space="preserve">Authoring flow by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Tag / attribute</w:t>
            </w:r>
          </w:p>
        </w:tc>
        <w:tc>
          <w:tcPr>
            <w:tcW w:type="dxa" w:w="22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Authored by</w:t>
            </w:r>
          </w:p>
        </w:tc>
        <w:tc>
          <w:tcPr>
            <w:tcW w:type="dxa" w:w="248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Where authored</w:t>
            </w:r>
          </w:p>
        </w:tc>
        <w:tc>
          <w:tcPr>
            <w:tcW w:type="dxa" w:w="248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How it reaches UC</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product_id / table name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Table name in CREATE TABLE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contract.alias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 (multi-value)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capability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archetype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owner.business / .technical / .email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refresh.frequency / .sla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contract.version / .changed / .url / .grain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 + CI</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collibra.url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source.app / .domain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App-layer table tag</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Authored directly; inherited up to product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class.sensitivity / .pii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 + CDO policy</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App-layer tag or auto-classification</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Highest-of-upstream inherits to product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identity.business_name / .short_name / .alias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 at conformance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UC column tag</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Authored directly on column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status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 + Engineer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 or direct</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Mixed (lifecycle decisions vs operational)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semantic.present / .config_type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 + Data Product Owner approval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Direct on semantic-layer object</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Authored directly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semantic.consumed_by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to semantic-layer object</w:t>
            </w:r>
          </w:p>
        </w:tc>
      </w:tr>
    </w:tbl>
    <w:p>
      <w:pPr>
        <w:spacing w:after="160"/>
      </w:pPr>
      <w:r>
        <w:t xml:space="preserve"> </w:t>
      </w:r>
    </w:p>
    <w:p>
      <w:pPr>
        <w:pStyle w:val="Heading2"/>
        <w:spacing w:after="140" w:before="280"/>
      </w:pPr>
      <w:r>
        <w:rPr>
          <w:b/>
          <w:bCs/>
          <w:color w:val="176B2C"/>
          <w:sz w:val="26"/>
          <w:szCs w:val="26"/>
        </w:rPr>
        <w:t xml:space="preserve">Worked example — aliases at two levels</w:t>
      </w:r>
    </w:p>
    <w:p>
      <w:pPr>
        <w:spacing w:after="100" w:before="100"/>
      </w:pPr>
      <w:r>
        <w:rPr>
          <w:rFonts w:ascii="Calibri" w:cs="Calibri" w:eastAsia="Calibri" w:hAnsi="Calibri"/>
          <w:sz w:val="22"/>
          <w:szCs w:val="22"/>
        </w:rPr>
        <w:t xml:space="preserve">Aliases illustrate the flow distinction. Two alias tags, two layers, different authoring flows:</w:t>
      </w:r>
    </w:p>
    <w:p>
      <w:pPr>
        <w:spacing w:after="100" w:before="100"/>
      </w:pPr>
      <w:r>
        <w:rPr>
          <w:rFonts w:ascii="Calibri" w:cs="Calibri" w:eastAsia="Calibri" w:hAnsi="Calibri"/>
          <w:b/>
          <w:bCs/>
          <w:color w:val="176B2C"/>
          <w:sz w:val="22"/>
          <w:szCs w:val="22"/>
        </w:rPr>
        <w:t xml:space="preserve">contract.alias (product level)</w:t>
      </w:r>
    </w:p>
    <w:p>
      <w:pPr>
        <w:spacing w:after="100" w:before="100"/>
      </w:pPr>
      <w:r>
        <w:rPr>
          <w:rFonts w:ascii="Calibri" w:cs="Calibri" w:eastAsia="Calibri" w:hAnsi="Calibri"/>
          <w:sz w:val="22"/>
          <w:szCs w:val="22"/>
        </w:rPr>
        <w:t xml:space="preserve">The Data Product Owner authors it in the contract YAML. It captures the product's display name and any historical names — e.g. 'Collateral Exposure' currently, 'CCR Collateral' historically, 'CMOS Collateral Position' as an alternate. CI reads the YAML on each release and applies the multi-value tag to the table. The Engineer doesn't author this because they don't know the senior risk director's preferred name for the product.</w:t>
      </w:r>
    </w:p>
    <w:p>
      <w:pPr>
        <w:spacing w:after="100" w:before="100"/>
      </w:pPr>
      <w:r>
        <w:rPr>
          <w:rFonts w:ascii="Calibri" w:cs="Calibri" w:eastAsia="Calibri" w:hAnsi="Calibri"/>
          <w:b/>
          <w:bCs/>
          <w:color w:val="B46F18"/>
          <w:sz w:val="22"/>
          <w:szCs w:val="22"/>
        </w:rPr>
        <w:t xml:space="preserve">identity.alias (column level)</w:t>
      </w:r>
    </w:p>
    <w:p>
      <w:pPr>
        <w:spacing w:after="100" w:before="100"/>
      </w:pPr>
      <w:r>
        <w:rPr>
          <w:rFonts w:ascii="Calibri" w:cs="Calibri" w:eastAsia="Calibri" w:hAnsi="Calibri"/>
          <w:sz w:val="22"/>
          <w:szCs w:val="22"/>
        </w:rPr>
        <w:t xml:space="preserve">The Engineer authors it directly at conformance. When XVALA's column cpIntRtg is mapped to the canonical counterparty_internal_rating column in the conformed schema, the Engineer records the alias as 'xvala:cpIntRtg' on the canonical column. The Data Product Owner doesn't author this because it's a technical-mapping fact that emerges from the conformance step.</w:t>
      </w:r>
    </w:p>
    <w:p>
      <w:pPr>
        <w:spacing w:after="100" w:before="100"/>
      </w:pPr>
      <w:r>
        <w:rPr>
          <w:rFonts w:ascii="Calibri" w:cs="Calibri" w:eastAsia="Calibri" w:hAnsi="Calibri"/>
          <w:i/>
          <w:iCs/>
          <w:color w:val="595959"/>
          <w:sz w:val="22"/>
          <w:szCs w:val="22"/>
        </w:rPr>
        <w:t xml:space="preserve">Both tags use the *.alias suffix to signal they belong to the same conceptual family. Their namespaces (contract.*, identity.*) signal who owns the authoring.</w:t>
      </w:r>
    </w:p>
    <w:p>
      <w:pPr>
        <w:pStyle w:val="Heading2"/>
        <w:spacing w:after="140" w:before="280"/>
      </w:pPr>
      <w:r>
        <w:rPr>
          <w:b/>
          <w:bCs/>
          <w:color w:val="176B2C"/>
          <w:sz w:val="26"/>
          <w:szCs w:val="26"/>
        </w:rPr>
        <w:t xml:space="preserve">The general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Tags describing contracted commitments about a product → Data Product Owner authors in YAML, CI projects to tags. Tags describing physical/technical reality → Engineer authors directly on the object. Tags surfacing business demand → Business raises through intake; downstream flows pick it up.</w:t>
            </w:r>
          </w:p>
        </w:tc>
      </w:tr>
    </w:tbl>
    <w:p>
      <w:pPr>
        <w:pStyle w:val="Heading2"/>
        <w:spacing w:after="140" w:before="280"/>
      </w:pPr>
      <w:r>
        <w:rPr>
          <w:b/>
          <w:bCs/>
          <w:color w:val="176B2C"/>
          <w:sz w:val="26"/>
          <w:szCs w:val="26"/>
        </w:rPr>
        <w:t xml:space="preserve">Where to go from here</w:t>
      </w:r>
    </w:p>
    <w:p>
      <w:pPr>
        <w:pStyle w:val="ListParagraph"/>
        <w:numPr>
          <w:ilvl w:val="0"/>
          <w:numId w:val="2"/>
        </w:numPr>
        <w:spacing w:after="50" w:before="50"/>
      </w:pPr>
      <w:r>
        <w:rPr>
          <w:sz w:val="22"/>
          <w:szCs w:val="22"/>
        </w:rPr>
        <w:t xml:space="preserve">Data Contract Standard (4) — for the YAML structure that the Data Product Owner authors</w:t>
      </w:r>
    </w:p>
    <w:p>
      <w:pPr>
        <w:pStyle w:val="ListParagraph"/>
        <w:numPr>
          <w:ilvl w:val="0"/>
          <w:numId w:val="2"/>
        </w:numPr>
        <w:spacing w:after="50" w:before="50"/>
      </w:pPr>
      <w:r>
        <w:rPr>
          <w:sz w:val="22"/>
          <w:szCs w:val="22"/>
        </w:rPr>
        <w:t xml:space="preserve">UC Tag Standards (5.2) — for the tag inventory across all layers</w:t>
      </w:r>
    </w:p>
    <w:p>
      <w:pPr>
        <w:pStyle w:val="ListParagraph"/>
        <w:numPr>
          <w:ilvl w:val="0"/>
          <w:numId w:val="2"/>
        </w:numPr>
        <w:spacing w:after="50" w:before="50"/>
      </w:pPr>
      <w:r>
        <w:rPr>
          <w:sz w:val="22"/>
          <w:szCs w:val="22"/>
        </w:rPr>
        <w:t xml:space="preserve">Roles &amp; Responsibilities — for the full RASCI across activities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Risk Data — Operating Model &amp; Standards</w:t>
            </w:r>
          </w:p>
          <w:p>
            <w:r>
              <w:rPr>
                <w:b/>
                <w:bCs/>
                <w:color w:val="FFFFFF"/>
                <w:sz w:val="32"/>
                <w:szCs w:val="32"/>
              </w:rPr>
              <w:t xml:space="preserve">↳ 7. Consumer Registry</w:t>
            </w:r>
          </w:p>
        </w:tc>
      </w:tr>
    </w:tbl>
    <w:p>
      <w:pPr>
        <w:spacing w:after="280" w:before="100"/>
        <w:jc w:val="center"/>
      </w:pPr>
      <w:r>
        <w:rPr>
          <w:b/>
          <w:bCs/>
          <w:color w:val="176B2C"/>
          <w:sz w:val="40"/>
          <w:szCs w:val="40"/>
        </w:rPr>
        <w:t xml:space="preserve">Consumer Registry</w:t>
      </w:r>
    </w:p>
    <w:p>
      <w:pPr>
        <w:spacing w:after="280"/>
        <w:jc w:val="center"/>
      </w:pPr>
      <w:r>
        <w:rPr>
          <w:i/>
          <w:iCs/>
          <w:color w:val="595959"/>
          <w:sz w:val="22"/>
          <w:szCs w:val="22"/>
        </w:rPr>
        <w:t xml:space="preserve">Persistent consumer tracking — table schema and registration process</w:t>
      </w:r>
    </w:p>
    <w:p>
      <w:pPr>
        <w:spacing w:after="100" w:before="100"/>
      </w:pPr>
      <w:r>
        <w:rPr>
          <w:rFonts w:ascii="Calibri" w:cs="Calibri" w:eastAsia="Calibri" w:hAnsi="Calibri"/>
          <w:i/>
          <w:iCs/>
          <w:color w:val="595959"/>
          <w:sz w:val="22"/>
          <w:szCs w:val="22"/>
        </w:rPr>
        <w:t xml:space="preserve">Authority. Risk Data Team owns the registry. Consumer teams register their consumers. Quarterly review by Risk Data.</w:t>
      </w:r>
    </w:p>
    <w:p>
      <w:pPr>
        <w:pStyle w:val="Heading2"/>
        <w:spacing w:after="140" w:before="280"/>
      </w:pPr>
      <w:r>
        <w:rPr>
          <w:b/>
          <w:bCs/>
          <w:color w:val="176B2C"/>
          <w:sz w:val="26"/>
          <w:szCs w:val="26"/>
        </w:rPr>
        <w:t xml:space="preserve">What this is</w:t>
      </w:r>
    </w:p>
    <w:p>
      <w:pPr>
        <w:spacing w:after="100" w:before="100"/>
      </w:pPr>
      <w:r>
        <w:rPr>
          <w:rFonts w:ascii="Calibri" w:cs="Calibri" w:eastAsia="Calibri" w:hAnsi="Calibri"/>
          <w:sz w:val="22"/>
          <w:szCs w:val="22"/>
        </w:rPr>
        <w:t xml:space="preserve">The consumer registry captures persistent consumers (dashboards, models, regulatory feeds) of Risk Warehouse data products. It lives as a physical table in risk_governance and is synchronised to Collibra.</w:t>
      </w:r>
    </w:p>
    <w:p>
      <w:pPr>
        <w:pStyle w:val="Heading2"/>
        <w:spacing w:after="140" w:before="280"/>
      </w:pPr>
      <w:r>
        <w:rPr>
          <w:b/>
          <w:bCs/>
          <w:color w:val="176B2C"/>
          <w:sz w:val="26"/>
          <w:szCs w:val="26"/>
        </w:rPr>
        <w:t xml:space="preserve">Table — risk_governance.consumer_registry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Type</w:t>
            </w:r>
          </w:p>
        </w:tc>
        <w:tc>
          <w:tcPr>
            <w:tcW w:type="dxa" w:w="51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Description</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consumer_id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string</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Unique identifier (e.g. ccr_executive_dashboard_v3)</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consumer_type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string</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One of: dashboard, model, report, feed, api</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consumer_owner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string</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Named team or person responsible for the consumer</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consumer_platform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string</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Where it runs: microstrategy, power_bi, python_model, informatica, etc.</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producer_product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string</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Fully-qualified data product (e.g. riskwh.gold.fact_exposure)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producer_version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string</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version consumed (e.g. 1.2.0)</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registered_date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date</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When the registration was made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last_validated_date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date</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When the registration was last confirmed still active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business_critical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boolean</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True if deprecating the producer would break a business-critical workflow</w:t>
            </w:r>
          </w:p>
        </w:tc>
      </w:tr>
    </w:tbl>
    <w:p>
      <w:pPr>
        <w:spacing w:after="160"/>
      </w:pPr>
      <w:r>
        <w:t xml:space="preserve"> </w:t>
      </w:r>
    </w:p>
    <w:p>
      <w:pPr>
        <w:pStyle w:val="Heading2"/>
        <w:spacing w:after="140" w:before="280"/>
      </w:pPr>
      <w:r>
        <w:rPr>
          <w:b/>
          <w:bCs/>
          <w:color w:val="176B2C"/>
          <w:sz w:val="26"/>
          <w:szCs w:val="26"/>
        </w:rPr>
        <w:t xml:space="preserve">Who writes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Action</w:t>
            </w:r>
          </w:p>
        </w:tc>
        <w:tc>
          <w:tcPr>
            <w:tcW w:type="dxa" w:w="43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Who</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Register a new consumer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The consumer's owner team</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Update / re-validate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Annually by consumer owner; quarterly review by Risk Data</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Deprecate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Consumer owner on retirement of the consumer</w:t>
            </w:r>
          </w:p>
        </w:tc>
      </w:tr>
    </w:tbl>
    <w:p>
      <w:pPr>
        <w:spacing w:after="160"/>
      </w:pPr>
      <w:r>
        <w:t xml:space="preserve"> </w:t>
      </w:r>
    </w:p>
    <w:p>
      <w:pPr>
        <w:pStyle w:val="Heading2"/>
        <w:spacing w:after="140" w:before="280"/>
      </w:pPr>
      <w:r>
        <w:rPr>
          <w:b/>
          <w:bCs/>
          <w:color w:val="176B2C"/>
          <w:sz w:val="26"/>
          <w:szCs w:val="26"/>
        </w:rPr>
        <w:t xml:space="preserve">Reverse lookup — who consumes a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color="auto" w:val="clear"/>
            <w:tcMar>
              <w:top w:type="dxa" w:w="120"/>
              <w:left w:type="dxa" w:w="160"/>
              <w:bottom w:type="dxa" w:w="120"/>
              <w:right w:type="dxa" w:w="160"/>
            </w:tcMar>
          </w:tcPr>
          <w:p>
            <w:pPr>
              <w:spacing w:after="0" w:before="0"/>
            </w:pPr>
            <w:r>
              <w:rPr>
                <w:rFonts w:ascii="Consolas" w:cs="Consolas" w:eastAsia="Consolas" w:hAnsi="Consolas"/>
                <w:color w:val="1F4E78"/>
                <w:sz w:val="18"/>
                <w:szCs w:val="18"/>
              </w:rPr>
              <w:t xml:space="preserve">SELECT consumer_id, consumer_owner, business_critical</w:t>
            </w:r>
          </w:p>
          <w:p>
            <w:pPr>
              <w:spacing w:after="0" w:before="0"/>
            </w:pPr>
            <w:r>
              <w:rPr>
                <w:rFonts w:ascii="Consolas" w:cs="Consolas" w:eastAsia="Consolas" w:hAnsi="Consolas"/>
                <w:color w:val="1F4E78"/>
                <w:sz w:val="18"/>
                <w:szCs w:val="18"/>
              </w:rPr>
              <w:t xml:space="preserve">FROM risk_governance.consumer_registry</w:t>
            </w:r>
          </w:p>
          <w:p>
            <w:pPr>
              <w:spacing w:after="0" w:before="0"/>
            </w:pPr>
            <w:r>
              <w:rPr>
                <w:rFonts w:ascii="Consolas" w:cs="Consolas" w:eastAsia="Consolas" w:hAnsi="Consolas"/>
                <w:color w:val="1F4E78"/>
                <w:sz w:val="18"/>
                <w:szCs w:val="18"/>
              </w:rPr>
              <w:t xml:space="preserve">WHERE producer_product = 'riskwh.gold.fact_exposure'</w:t>
            </w:r>
          </w:p>
          <w:p>
            <w:pPr>
              <w:spacing w:after="0" w:before="0"/>
            </w:pPr>
            <w:r>
              <w:rPr>
                <w:rFonts w:ascii="Consolas" w:cs="Consolas" w:eastAsia="Consolas" w:hAnsi="Consolas"/>
                <w:color w:val="1F4E78"/>
                <w:sz w:val="18"/>
                <w:szCs w:val="18"/>
              </w:rPr>
              <w:t xml:space="preserve">  AND last_validated_date &gt;= current_date - INTERVAL 365 DAYS;</w:t>
            </w:r>
          </w:p>
        </w:tc>
      </w:tr>
    </w:tbl>
    <w:p>
      <w:pPr>
        <w:pStyle w:val="Heading2"/>
        <w:spacing w:after="140" w:before="280"/>
      </w:pPr>
      <w:r>
        <w:rPr>
          <w:b/>
          <w:bCs/>
          <w:color w:val="176B2C"/>
          <w:sz w:val="26"/>
          <w:szCs w:val="26"/>
        </w:rPr>
        <w:t xml:space="preserve">Relationship to other tracking patterns</w:t>
      </w:r>
    </w:p>
    <w:p>
      <w:pPr>
        <w:spacing w:after="100" w:before="100"/>
      </w:pPr>
      <w:r>
        <w:rPr>
          <w:rFonts w:ascii="Calibri" w:cs="Calibri" w:eastAsia="Calibri" w:hAnsi="Calibri"/>
          <w:sz w:val="22"/>
          <w:szCs w:val="22"/>
        </w:rPr>
        <w:t xml:space="preserve">The consumer registry is one of four consumer-tracking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Pattern</w:t>
            </w:r>
          </w:p>
        </w:tc>
        <w:tc>
          <w:tcPr>
            <w:tcW w:type="dxa" w:w="63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What it captures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Collibra subscription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Individuals formalise as known consumers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Query-log lineage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UC audit logs capture actual usage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Consumer registry (this)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Persistent consumers (dashboards, models, feeds) declare their producer dependencies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AD-group inheritance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BI tool AD group membership + registered dashboard = implicit subscription chain</w:t>
            </w:r>
          </w:p>
        </w:tc>
      </w:tr>
    </w:tbl>
    <w:p>
      <w:pPr>
        <w:spacing w:after="160"/>
      </w:pPr>
      <w:r>
        <w:t xml:space="preserve"> </w:t>
      </w:r>
    </w:p>
    <w:p>
      <w:pPr>
        <w:pStyle w:val="Heading2"/>
        <w:spacing w:after="140" w:before="280"/>
      </w:pPr>
      <w:r>
        <w:rPr>
          <w:b/>
          <w:bCs/>
          <w:color w:val="176B2C"/>
          <w:sz w:val="26"/>
          <w:szCs w:val="26"/>
        </w:rPr>
        <w:t xml:space="preserve">Where to go from here</w:t>
      </w:r>
    </w:p>
    <w:p>
      <w:pPr>
        <w:pStyle w:val="ListParagraph"/>
        <w:numPr>
          <w:ilvl w:val="0"/>
          <w:numId w:val="2"/>
        </w:numPr>
        <w:spacing w:after="50" w:before="50"/>
      </w:pPr>
      <w:r>
        <w:rPr>
          <w:sz w:val="22"/>
          <w:szCs w:val="22"/>
        </w:rPr>
        <w:t xml:space="preserve">Change Management (4.2) — for how registered consumers receive notifications when contracts change</w:t>
      </w:r>
    </w:p>
    <w:p>
      <w:pPr>
        <w:pStyle w:val="ListParagraph"/>
        <w:numPr>
          <w:ilvl w:val="0"/>
          <w:numId w:val="2"/>
        </w:numPr>
        <w:spacing w:after="50" w:before="50"/>
      </w:pPr>
      <w:r>
        <w:rPr>
          <w:sz w:val="22"/>
          <w:szCs w:val="22"/>
        </w:rPr>
        <w:t xml:space="preserve">Architecture &amp; Design (1) — for the full consumer tracking picture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Risk Data — Operating Model &amp; Standards</w:t>
            </w:r>
          </w:p>
          <w:p>
            <w:r>
              <w:rPr>
                <w:b/>
                <w:bCs/>
                <w:color w:val="FFFFFF"/>
                <w:sz w:val="32"/>
                <w:szCs w:val="32"/>
              </w:rPr>
              <w:t xml:space="preserve">↳ 8. Worked Example — Counterparty 360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Content unchanged from your current Confluence. No need to recreate this page.</w:t>
            </w:r>
          </w:p>
        </w:tc>
      </w:tr>
    </w:tbl>
    <w:p>
      <w:pPr>
        <w:spacing w:after="100" w:before="100"/>
      </w:pPr>
      <w:r>
        <w:rPr>
          <w:rFonts w:ascii="Calibri" w:cs="Calibri" w:eastAsia="Calibri" w:hAnsi="Calibri"/>
          <w:i/>
          <w:iCs/>
          <w:color w:val="595959"/>
          <w:sz w:val="22"/>
          <w:szCs w:val="22"/>
        </w:rPr>
        <w:t xml:space="preserve">Update needed: cross-references to 'Standards &amp; Artifacts Library Section X' need to be updated to point at the new pages. Specifically Section H → page 2.1 Semantic Layer Standard; Section E → page 5.1 Schema &amp; Catalog Design.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Risk Data — Operating Model &amp; Standards</w:t>
            </w:r>
          </w:p>
          <w:p>
            <w:r>
              <w:rPr>
                <w:b/>
                <w:bCs/>
                <w:color w:val="FFFFFF"/>
                <w:sz w:val="32"/>
                <w:szCs w:val="32"/>
              </w:rPr>
              <w:t xml:space="preserve">↳ 9. From Risk Reports to Governed Data Products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Content unchanged. Cross-reference updates needed similar to page 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12"/>
              <w:left w:val="single" w:color="176B2C" w:sz="12"/>
              <w:bottom w:val="single" w:color="176B2C" w:sz="12"/>
              <w:right w:val="single" w:color="176B2C" w:sz="12"/>
            </w:tcBorders>
            <w:shd w:fill="176B2C" w:color="auto" w:val="clear"/>
            <w:tcMar>
              <w:top w:type="dxa" w:w="180"/>
              <w:left w:type="dxa" w:w="220"/>
              <w:bottom w:type="dxa" w:w="180"/>
              <w:right w:type="dxa" w:w="220"/>
            </w:tcMar>
          </w:tcPr>
          <w:p>
            <w:pPr>
              <w:spacing w:after="40"/>
            </w:pPr>
            <w:r>
              <w:rPr>
                <w:i/>
                <w:iCs/>
                <w:color w:val="C5DAB1"/>
                <w:sz w:val="18"/>
                <w:szCs w:val="18"/>
              </w:rPr>
              <w:t xml:space="preserve">CHILD PAGE under: Risk Data — Operating Model &amp; Standards</w:t>
            </w:r>
          </w:p>
          <w:p>
            <w:r>
              <w:rPr>
                <w:b/>
                <w:bCs/>
                <w:color w:val="FFFFFF"/>
                <w:sz w:val="32"/>
                <w:szCs w:val="32"/>
              </w:rPr>
              <w:t xml:space="preserve">↳ 10. Governance &amp; Cadence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Content unchanged. This page hosts the Roles &amp; Responsibilities section, including the new 'Three authoring flows' section from roles_addendum.docx. Make sure that addendum is integrated here.</w:t>
            </w:r>
          </w:p>
        </w:tc>
      </w:tr>
    </w:tbl>
    <w:p>
      <w:r>
        <w:br w:type="page"/>
      </w:r>
    </w:p>
    <w:p>
      <w:pPr>
        <w:pStyle w:val="Heading1"/>
        <w:spacing w:after="180" w:before="360"/>
      </w:pPr>
      <w:r>
        <w:rPr>
          <w:b/>
          <w:bCs/>
          <w:color w:val="176B2C"/>
          <w:sz w:val="32"/>
          <w:szCs w:val="32"/>
        </w:rPr>
        <w:t xml:space="preserve">Migration summary</w:t>
      </w:r>
    </w:p>
    <w:p>
      <w:pPr>
        <w:pStyle w:val="Heading2"/>
        <w:spacing w:after="140" w:before="280"/>
      </w:pPr>
      <w:r>
        <w:rPr>
          <w:b/>
          <w:bCs/>
          <w:color w:val="176B2C"/>
          <w:sz w:val="26"/>
          <w:szCs w:val="26"/>
        </w:rPr>
        <w:t xml:space="preserve">Pages to create</w:t>
      </w:r>
    </w:p>
    <w:p>
      <w:pPr>
        <w:spacing w:after="100" w:before="100"/>
      </w:pPr>
      <w:r>
        <w:rPr>
          <w:rFonts w:ascii="Calibri" w:cs="Calibri" w:eastAsia="Calibri" w:hAnsi="Calibri"/>
          <w:sz w:val="22"/>
          <w:szCs w:val="22"/>
        </w:rPr>
        <w:t xml:space="preserve">Eight new pages:</w:t>
      </w:r>
    </w:p>
    <w:p>
      <w:pPr>
        <w:pStyle w:val="ListParagraph"/>
        <w:numPr>
          <w:ilvl w:val="0"/>
          <w:numId w:val="2"/>
        </w:numPr>
        <w:spacing w:after="50" w:before="50"/>
      </w:pPr>
      <w:r>
        <w:rPr>
          <w:sz w:val="22"/>
          <w:szCs w:val="22"/>
        </w:rPr>
        <w:t xml:space="preserve">2.1 Semantic Layer Standard (child of Data Modeling for Risk)</w:t>
      </w:r>
    </w:p>
    <w:p>
      <w:pPr>
        <w:pStyle w:val="ListParagraph"/>
        <w:numPr>
          <w:ilvl w:val="0"/>
          <w:numId w:val="2"/>
        </w:numPr>
        <w:spacing w:after="50" w:before="50"/>
      </w:pPr>
      <w:r>
        <w:rPr>
          <w:sz w:val="22"/>
          <w:szCs w:val="22"/>
        </w:rPr>
        <w:t xml:space="preserve">3. Naming Convention Standard</w:t>
      </w:r>
    </w:p>
    <w:p>
      <w:pPr>
        <w:pStyle w:val="ListParagraph"/>
        <w:numPr>
          <w:ilvl w:val="0"/>
          <w:numId w:val="2"/>
        </w:numPr>
        <w:spacing w:after="50" w:before="50"/>
      </w:pPr>
      <w:r>
        <w:rPr>
          <w:sz w:val="22"/>
          <w:szCs w:val="22"/>
        </w:rPr>
        <w:t xml:space="preserve">4. Data Contract Standard (landing)</w:t>
      </w:r>
    </w:p>
    <w:p>
      <w:pPr>
        <w:pStyle w:val="ListParagraph"/>
        <w:numPr>
          <w:ilvl w:val="0"/>
          <w:numId w:val="2"/>
        </w:numPr>
        <w:spacing w:after="50" w:before="50"/>
      </w:pPr>
      <w:r>
        <w:rPr>
          <w:sz w:val="22"/>
          <w:szCs w:val="22"/>
        </w:rPr>
        <w:t xml:space="preserve">4.1 Intake Process (child of Data Contract Standard)</w:t>
      </w:r>
    </w:p>
    <w:p>
      <w:pPr>
        <w:pStyle w:val="ListParagraph"/>
        <w:numPr>
          <w:ilvl w:val="0"/>
          <w:numId w:val="2"/>
        </w:numPr>
        <w:spacing w:after="50" w:before="50"/>
      </w:pPr>
      <w:r>
        <w:rPr>
          <w:sz w:val="22"/>
          <w:szCs w:val="22"/>
        </w:rPr>
        <w:t xml:space="preserve">4.2 Change Management (child of Data Contract Standard)</w:t>
      </w:r>
    </w:p>
    <w:p>
      <w:pPr>
        <w:pStyle w:val="ListParagraph"/>
        <w:numPr>
          <w:ilvl w:val="0"/>
          <w:numId w:val="2"/>
        </w:numPr>
        <w:spacing w:after="50" w:before="50"/>
      </w:pPr>
      <w:r>
        <w:rPr>
          <w:sz w:val="22"/>
          <w:szCs w:val="22"/>
        </w:rPr>
        <w:t xml:space="preserve">5. Databricks Platform Standards (landing)</w:t>
      </w:r>
    </w:p>
    <w:p>
      <w:pPr>
        <w:pStyle w:val="ListParagraph"/>
        <w:numPr>
          <w:ilvl w:val="0"/>
          <w:numId w:val="2"/>
        </w:numPr>
        <w:spacing w:after="50" w:before="50"/>
      </w:pPr>
      <w:r>
        <w:rPr>
          <w:sz w:val="22"/>
          <w:szCs w:val="22"/>
        </w:rPr>
        <w:t xml:space="preserve">5.1 Schema &amp; Catalog Design (child of Databricks Platform Standards)</w:t>
      </w:r>
    </w:p>
    <w:p>
      <w:pPr>
        <w:pStyle w:val="ListParagraph"/>
        <w:numPr>
          <w:ilvl w:val="0"/>
          <w:numId w:val="2"/>
        </w:numPr>
        <w:spacing w:after="50" w:before="50"/>
      </w:pPr>
      <w:r>
        <w:rPr>
          <w:sz w:val="22"/>
          <w:szCs w:val="22"/>
        </w:rPr>
        <w:t xml:space="preserve">5.2 UC Tag Standards (child of Databricks Platform Standards)</w:t>
      </w:r>
    </w:p>
    <w:p>
      <w:pPr>
        <w:pStyle w:val="ListParagraph"/>
        <w:numPr>
          <w:ilvl w:val="0"/>
          <w:numId w:val="2"/>
        </w:numPr>
        <w:spacing w:after="50" w:before="50"/>
      </w:pPr>
      <w:r>
        <w:rPr>
          <w:sz w:val="22"/>
          <w:szCs w:val="22"/>
        </w:rPr>
        <w:t xml:space="preserve">6. Authoring Flows</w:t>
      </w:r>
    </w:p>
    <w:p>
      <w:pPr>
        <w:pStyle w:val="ListParagraph"/>
        <w:numPr>
          <w:ilvl w:val="0"/>
          <w:numId w:val="2"/>
        </w:numPr>
        <w:spacing w:after="50" w:before="50"/>
      </w:pPr>
      <w:r>
        <w:rPr>
          <w:sz w:val="22"/>
          <w:szCs w:val="22"/>
        </w:rPr>
        <w:t xml:space="preserve">7. Consumer Registry</w:t>
      </w:r>
    </w:p>
    <w:p>
      <w:pPr>
        <w:pStyle w:val="Heading2"/>
        <w:spacing w:after="140" w:before="280"/>
      </w:pPr>
      <w:r>
        <w:rPr>
          <w:b/>
          <w:bCs/>
          <w:color w:val="176B2C"/>
          <w:sz w:val="26"/>
          <w:szCs w:val="26"/>
        </w:rPr>
        <w:t xml:space="preserve">Page to update (already exists)</w:t>
      </w:r>
    </w:p>
    <w:p>
      <w:pPr>
        <w:pStyle w:val="ListParagraph"/>
        <w:numPr>
          <w:ilvl w:val="0"/>
          <w:numId w:val="2"/>
        </w:numPr>
        <w:spacing w:after="50" w:before="50"/>
      </w:pPr>
      <w:r>
        <w:rPr>
          <w:sz w:val="22"/>
          <w:szCs w:val="22"/>
        </w:rPr>
        <w:t xml:space="preserve">Risk Data — Operating Model &amp; Standards (landing) — replace existing content with new version above</w:t>
      </w:r>
    </w:p>
    <w:p>
      <w:pPr>
        <w:pStyle w:val="ListParagraph"/>
        <w:numPr>
          <w:ilvl w:val="0"/>
          <w:numId w:val="2"/>
        </w:numPr>
        <w:spacing w:after="50" w:before="50"/>
      </w:pPr>
      <w:r>
        <w:rPr>
          <w:sz w:val="22"/>
          <w:szCs w:val="22"/>
        </w:rPr>
        <w:t xml:space="preserve">Data Modeling for Risk (page 2) — add forward link to new child page 2.1</w:t>
      </w:r>
    </w:p>
    <w:p>
      <w:pPr>
        <w:pStyle w:val="ListParagraph"/>
        <w:numPr>
          <w:ilvl w:val="0"/>
          <w:numId w:val="2"/>
        </w:numPr>
        <w:spacing w:after="50" w:before="50"/>
      </w:pPr>
      <w:r>
        <w:rPr>
          <w:sz w:val="22"/>
          <w:szCs w:val="22"/>
        </w:rPr>
        <w:t xml:space="preserve">Worked Example, Reports-to-Products, Governance — update cross-references only</w:t>
      </w:r>
    </w:p>
    <w:p>
      <w:pPr>
        <w:pStyle w:val="Heading2"/>
        <w:spacing w:after="140" w:before="280"/>
      </w:pPr>
      <w:r>
        <w:rPr>
          <w:b/>
          <w:bCs/>
          <w:color w:val="176B2C"/>
          <w:sz w:val="26"/>
          <w:szCs w:val="26"/>
        </w:rPr>
        <w:t xml:space="preserve">Page to delete</w:t>
      </w:r>
    </w:p>
    <w:p>
      <w:pPr>
        <w:pStyle w:val="ListParagraph"/>
        <w:numPr>
          <w:ilvl w:val="0"/>
          <w:numId w:val="2"/>
        </w:numPr>
        <w:spacing w:after="50" w:before="50"/>
      </w:pPr>
      <w:r>
        <w:rPr>
          <w:sz w:val="22"/>
          <w:szCs w:val="22"/>
        </w:rPr>
        <w:t xml:space="preserve">Standards &amp; Artifacts Library — content has been redistributed across the new pages above</w:t>
      </w:r>
    </w:p>
    <w:p>
      <w:pPr>
        <w:pStyle w:val="Heading2"/>
        <w:spacing w:after="140" w:before="280"/>
      </w:pPr>
      <w:r>
        <w:rPr>
          <w:b/>
          <w:bCs/>
          <w:color w:val="176B2C"/>
          <w:sz w:val="26"/>
          <w:szCs w:val="26"/>
        </w:rPr>
        <w:t xml:space="preserve">Attachments to move</w:t>
      </w:r>
    </w:p>
    <w:p>
      <w:pPr>
        <w:spacing w:after="100" w:before="100"/>
      </w:pPr>
      <w:r>
        <w:rPr>
          <w:rFonts w:ascii="Calibri" w:cs="Calibri" w:eastAsia="Calibri" w:hAnsi="Calibri"/>
          <w:sz w:val="22"/>
          <w:szCs w:val="22"/>
        </w:rPr>
        <w:t xml:space="preserve">These attachments currently live on the Standards &amp; Artifacts Library page. They need to move to the new Operating Model &amp; Standards landing page so download links from the new structure resolve correctly.</w:t>
      </w:r>
    </w:p>
    <w:p>
      <w:pPr>
        <w:pStyle w:val="ListParagraph"/>
        <w:numPr>
          <w:ilvl w:val="0"/>
          <w:numId w:val="2"/>
        </w:numPr>
        <w:spacing w:after="50" w:before="50"/>
      </w:pPr>
      <w:r>
        <w:rPr>
          <w:sz w:val="22"/>
          <w:szCs w:val="22"/>
        </w:rPr>
        <w:t xml:space="preserve">data_contract_template_v6_1.yaml</w:t>
      </w:r>
    </w:p>
    <w:p>
      <w:pPr>
        <w:pStyle w:val="ListParagraph"/>
        <w:numPr>
          <w:ilvl w:val="0"/>
          <w:numId w:val="2"/>
        </w:numPr>
        <w:spacing w:after="50" w:before="50"/>
      </w:pPr>
      <w:r>
        <w:rPr>
          <w:sz w:val="22"/>
          <w:szCs w:val="22"/>
        </w:rPr>
        <w:t xml:space="preserve">data_contract_attribute_spec_v6_1.xlsx</w:t>
      </w:r>
    </w:p>
    <w:p>
      <w:pPr>
        <w:pStyle w:val="ListParagraph"/>
        <w:numPr>
          <w:ilvl w:val="0"/>
          <w:numId w:val="2"/>
        </w:numPr>
        <w:spacing w:after="50" w:before="50"/>
      </w:pPr>
      <w:r>
        <w:rPr>
          <w:sz w:val="22"/>
          <w:szCs w:val="22"/>
        </w:rPr>
        <w:t xml:space="preserve">uc_metadata_standards_v5_1.xlsx</w:t>
      </w:r>
    </w:p>
    <w:p>
      <w:pPr>
        <w:pStyle w:val="ListParagraph"/>
        <w:numPr>
          <w:ilvl w:val="0"/>
          <w:numId w:val="2"/>
        </w:numPr>
        <w:spacing w:after="50" w:before="50"/>
      </w:pPr>
      <w:r>
        <w:rPr>
          <w:sz w:val="22"/>
          <w:szCs w:val="22"/>
        </w:rPr>
        <w:t xml:space="preserve">uc_system_queries_quickref.xlsx</w:t>
      </w:r>
    </w:p>
    <w:p>
      <w:pPr>
        <w:pStyle w:val="ListParagraph"/>
        <w:numPr>
          <w:ilvl w:val="0"/>
          <w:numId w:val="2"/>
        </w:numPr>
        <w:spacing w:after="50" w:before="50"/>
      </w:pPr>
      <w:r>
        <w:rPr>
          <w:sz w:val="22"/>
          <w:szCs w:val="22"/>
        </w:rPr>
        <w:t xml:space="preserve">roles_activities_matrix_v1.xlsx</w:t>
      </w:r>
    </w:p>
    <w:p>
      <w:pPr>
        <w:pStyle w:val="ListParagraph"/>
        <w:numPr>
          <w:ilvl w:val="0"/>
          <w:numId w:val="2"/>
        </w:numPr>
        <w:spacing w:after="50" w:before="50"/>
      </w:pPr>
      <w:r>
        <w:rPr>
          <w:sz w:val="22"/>
          <w:szCs w:val="22"/>
        </w:rPr>
        <w:t xml:space="preserve">jira_intake_template_spec_v1.docx</w:t>
      </w:r>
    </w:p>
    <w:p>
      <w:pPr>
        <w:pStyle w:val="ListParagraph"/>
        <w:numPr>
          <w:ilvl w:val="0"/>
          <w:numId w:val="2"/>
        </w:numPr>
        <w:spacing w:after="50" w:before="50"/>
      </w:pPr>
      <w:r>
        <w:rPr>
          <w:sz w:val="22"/>
          <w:szCs w:val="22"/>
        </w:rPr>
        <w:t xml:space="preserve">Any other reference docs currently attached</w:t>
      </w:r>
    </w:p>
    <w:p>
      <w:pPr>
        <w:pStyle w:val="Heading2"/>
        <w:spacing w:after="140" w:before="280"/>
      </w:pPr>
      <w:r>
        <w:rPr>
          <w:b/>
          <w:bCs/>
          <w:color w:val="176B2C"/>
          <w:sz w:val="26"/>
          <w:szCs w:val="26"/>
        </w:rPr>
        <w:t xml:space="preserve">Cross-references to update across all pages</w:t>
      </w:r>
    </w:p>
    <w:p>
      <w:pPr>
        <w:spacing w:after="100" w:before="100"/>
      </w:pPr>
      <w:r>
        <w:rPr>
          <w:rFonts w:ascii="Calibri" w:cs="Calibri" w:eastAsia="Calibri" w:hAnsi="Calibri"/>
          <w:sz w:val="22"/>
          <w:szCs w:val="22"/>
        </w:rPr>
        <w:t xml:space="preserve">Find-and-replace these references throughout Confluence after the new pages exist:</w:t>
      </w:r>
    </w:p>
    <w:p>
      <w:pPr>
        <w:pStyle w:val="ListParagraph"/>
        <w:numPr>
          <w:ilvl w:val="0"/>
          <w:numId w:val="2"/>
        </w:numPr>
        <w:spacing w:after="50" w:before="50"/>
      </w:pPr>
      <w:r>
        <w:rPr>
          <w:sz w:val="22"/>
          <w:szCs w:val="22"/>
        </w:rPr>
        <w:t xml:space="preserve">'Standards &amp; Artifacts Library Section B' or 'Section B' → 'Intake Process (Page 4.1)'</w:t>
      </w:r>
    </w:p>
    <w:p>
      <w:pPr>
        <w:pStyle w:val="ListParagraph"/>
        <w:numPr>
          <w:ilvl w:val="0"/>
          <w:numId w:val="2"/>
        </w:numPr>
        <w:spacing w:after="50" w:before="50"/>
      </w:pPr>
      <w:r>
        <w:rPr>
          <w:sz w:val="22"/>
          <w:szCs w:val="22"/>
        </w:rPr>
        <w:t xml:space="preserve">'Section C' → 'Data Contract Standard (Page 4)' or the attribute spec workbook</w:t>
      </w:r>
    </w:p>
    <w:p>
      <w:pPr>
        <w:pStyle w:val="ListParagraph"/>
        <w:numPr>
          <w:ilvl w:val="0"/>
          <w:numId w:val="2"/>
        </w:numPr>
        <w:spacing w:after="50" w:before="50"/>
      </w:pPr>
      <w:r>
        <w:rPr>
          <w:sz w:val="22"/>
          <w:szCs w:val="22"/>
        </w:rPr>
        <w:t xml:space="preserve">'Section D' → 'UC Tag Standards (Page 5.2)'</w:t>
      </w:r>
    </w:p>
    <w:p>
      <w:pPr>
        <w:pStyle w:val="ListParagraph"/>
        <w:numPr>
          <w:ilvl w:val="0"/>
          <w:numId w:val="2"/>
        </w:numPr>
        <w:spacing w:after="50" w:before="50"/>
      </w:pPr>
      <w:r>
        <w:rPr>
          <w:sz w:val="22"/>
          <w:szCs w:val="22"/>
        </w:rPr>
        <w:t xml:space="preserve">'Section E' → 'Schema &amp; Catalog Design (Page 5.1)'</w:t>
      </w:r>
    </w:p>
    <w:p>
      <w:pPr>
        <w:pStyle w:val="ListParagraph"/>
        <w:numPr>
          <w:ilvl w:val="0"/>
          <w:numId w:val="2"/>
        </w:numPr>
        <w:spacing w:after="50" w:before="50"/>
      </w:pPr>
      <w:r>
        <w:rPr>
          <w:sz w:val="22"/>
          <w:szCs w:val="22"/>
        </w:rPr>
        <w:t xml:space="preserve">'Section F' → 'Naming Convention Standard (Page 3)'</w:t>
      </w:r>
    </w:p>
    <w:p>
      <w:pPr>
        <w:pStyle w:val="ListParagraph"/>
        <w:numPr>
          <w:ilvl w:val="0"/>
          <w:numId w:val="2"/>
        </w:numPr>
        <w:spacing w:after="50" w:before="50"/>
      </w:pPr>
      <w:r>
        <w:rPr>
          <w:sz w:val="22"/>
          <w:szCs w:val="22"/>
        </w:rPr>
        <w:t xml:space="preserve">'Section H' → 'Semantic Layer Standard (Page 2.1)'</w:t>
      </w:r>
    </w:p>
    <w:p>
      <w:pPr>
        <w:pStyle w:val="ListParagraph"/>
        <w:numPr>
          <w:ilvl w:val="0"/>
          <w:numId w:val="2"/>
        </w:numPr>
        <w:spacing w:after="50" w:before="50"/>
      </w:pPr>
      <w:r>
        <w:rPr>
          <w:sz w:val="22"/>
          <w:szCs w:val="22"/>
        </w:rPr>
        <w:t xml:space="preserve">'Section I' (old Consumer Registry) → 'Consumer Registry (Page 7)'</w:t>
      </w:r>
    </w:p>
    <w:p>
      <w:pPr>
        <w:pStyle w:val="ListParagraph"/>
        <w:numPr>
          <w:ilvl w:val="0"/>
          <w:numId w:val="2"/>
        </w:numPr>
        <w:spacing w:after="50" w:before="50"/>
      </w:pPr>
      <w:r>
        <w:rPr>
          <w:sz w:val="22"/>
          <w:szCs w:val="22"/>
        </w:rPr>
        <w:t xml:space="preserve">'Section J' (old Change Management) → 'Change Management (Page 4.2)'</w:t>
      </w:r>
    </w:p>
    <w:p>
      <w:pPr>
        <w:pStyle w:val="ListParagraph"/>
        <w:numPr>
          <w:ilvl w:val="0"/>
          <w:numId w:val="2"/>
        </w:numPr>
        <w:spacing w:after="50" w:before="50"/>
      </w:pPr>
      <w:r>
        <w:rPr>
          <w:sz w:val="22"/>
          <w:szCs w:val="22"/>
        </w:rPr>
        <w:t xml:space="preserve">Any reference to 'Standards &amp; Artifacts Library' as a page → point to specific child page</w:t>
      </w:r>
    </w:p>
    <w:p>
      <w:pPr>
        <w:spacing w:after="100" w:before="1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Once the new pages are created, the attachments moved, and cross-references updated, the old Standards &amp; Artifacts Library page can be deleted. The space will have 10 numbered top-level pages plus a small set of child pages, all topic-grouped.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76B2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76B2C"/>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76B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2026-05-15T18:49:05.648Z</dcterms:created>
  <dcterms:modified xsi:type="dcterms:W3CDTF">2026-05-15T18:49:05.660Z</dcterms:modified>
</cp:coreProperties>
</file>

<file path=docProps/custom.xml><?xml version="1.0" encoding="utf-8"?>
<Properties xmlns="http://schemas.openxmlformats.org/officeDocument/2006/custom-properties" xmlns:vt="http://schemas.openxmlformats.org/officeDocument/2006/docPropsVTypes"/>
</file>