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none" w:color="FFFFFF" w:sz="0"/>
          <w:left w:val="none" w:color="FFFFFF" w:sz="0"/>
          <w:bottom w:val="single" w:color="1A5D2C" w:sz="24" w:space="4"/>
          <w:right w:val="none" w:color="FFFFFF" w:sz="0"/>
        </w:pBdr>
        <w:spacing w:after="200" w:before="0"/>
      </w:pPr>
      <w:r>
        <w:rPr>
          <w:rFonts w:ascii="Arial" w:cs="Arial" w:eastAsia="Arial" w:hAnsi="Arial"/>
          <w:b/>
          <w:bCs/>
          <w:color w:val="1A5D2C"/>
          <w:sz w:val="40"/>
          <w:szCs w:val="40"/>
        </w:rPr>
        <w:t xml:space="preserve">A working strategy for starting</w:t>
      </w:r>
    </w:p>
    <w:p>
      <w:pPr>
        <w:spacing w:after="200" w:before="0"/>
        <w:jc w:val="left"/>
      </w:pPr>
      <w:r>
        <w:rPr>
          <w:rFonts w:ascii="Arial" w:cs="Arial" w:eastAsia="Arial" w:hAnsi="Arial"/>
          <w:b w:val="false"/>
          <w:bCs w:val="false"/>
          <w:i/>
          <w:iCs/>
          <w:color w:val="5B6B7D"/>
          <w:sz w:val="20"/>
          <w:szCs w:val="20"/>
        </w:rPr>
        <w:t xml:space="preserve">Sub-page of Data Modelling for Risk — how the conformance and modelling work begins within risk, in parallel with the enterprise canonical model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12"/>
              <w:left w:val="single" w:color="D4A017" w:sz="48"/>
              <w:bottom w:val="single" w:color="D4A017" w:sz="12"/>
              <w:right w:val="single" w:color="D4A017" w:sz="12"/>
            </w:tcBorders>
            <w:shd w:fill="FFFBEB" w:val="clear"/>
            <w:tcMar>
              <w:top w:type="dxa" w:w="160"/>
              <w:left w:type="dxa" w:w="200"/>
              <w:bottom w:type="dxa" w:w="160"/>
              <w:right w:type="dxa" w:w="200"/>
            </w:tcMar>
          </w:tcPr>
          <w:p>
            <w:pPr>
              <w:spacing w:after="100" w:before="0"/>
            </w:pPr>
            <w:r>
              <w:rPr>
                <w:rFonts w:ascii="Arial" w:cs="Arial" w:eastAsia="Arial" w:hAnsi="Arial"/>
                <w:b/>
                <w:bCs/>
                <w:color w:val="6B4F00"/>
                <w:sz w:val="18"/>
                <w:szCs w:val="18"/>
              </w:rPr>
              <w:t xml:space="preserve">⚠ TWO FOUNDATIONAL NOTES</w:t>
            </w:r>
          </w:p>
          <w:p>
            <w:pPr>
              <w:spacing w:after="100" w:before="60"/>
            </w:pPr>
            <w:r>
              <w:rPr>
                <w:rFonts w:ascii="Arial" w:cs="Arial" w:eastAsia="Arial" w:hAnsi="Arial"/>
                <w:b/>
                <w:bCs/>
                <w:color w:val="6B4F00"/>
                <w:sz w:val="20"/>
                <w:szCs w:val="20"/>
              </w:rPr>
              <w:t xml:space="preserve">Modelling is not optional. </w:t>
            </w:r>
            <w:r>
              <w:rPr>
                <w:rFonts w:ascii="Arial" w:cs="Arial" w:eastAsia="Arial" w:hAnsi="Arial"/>
                <w:color w:val="6B4F00"/>
                <w:sz w:val="20"/>
                <w:szCs w:val="20"/>
              </w:rPr>
              <w:t xml:space="preserve">Sharing data through an API, report, or feed does not remove the need for modelling — it increases it. When data crosses a boundary, the consumer loses the producer's context. The domain model carries the business entities and their relationships. The analytical model carries the facts, dimensions, and drill paths that make the data usable. Both are needed regardless of how the data is delivered.</w:t>
            </w:r>
          </w:p>
          <w:p>
            <w:pPr>
              <w:spacing w:after="0" w:before="60"/>
            </w:pPr>
            <w:r>
              <w:rPr>
                <w:rFonts w:ascii="Arial" w:cs="Arial" w:eastAsia="Arial" w:hAnsi="Arial"/>
                <w:b/>
                <w:bCs/>
                <w:color w:val="6B4F00"/>
                <w:sz w:val="20"/>
                <w:szCs w:val="20"/>
              </w:rPr>
              <w:t xml:space="preserve">Confluence is for narrative, not automation. </w:t>
            </w:r>
            <w:r>
              <w:rPr>
                <w:rFonts w:ascii="Arial" w:cs="Arial" w:eastAsia="Arial" w:hAnsi="Arial"/>
                <w:color w:val="6B4F00"/>
                <w:sz w:val="20"/>
                <w:szCs w:val="20"/>
              </w:rPr>
              <w:t xml:space="preserve">Templates may appear here as Word or Excel for readability, but the format is a choice, not a requirement. Structured artefacts that drive automation — contracts, metadata, lineage — belong in YAML or JSON under version control. Visual artefacts — canvases, diagrams — belong in PowerPoint, Miro, or rendered HTML. Confluence carries the narrative that ties everything together.</w:t>
            </w:r>
          </w:p>
        </w:tc>
      </w:tr>
    </w:tbl>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The proposal</w:t>
      </w:r>
    </w:p>
    <w:p>
      <w:pPr>
        <w:spacing w:after="80" w:before="80"/>
        <w:jc w:val="left"/>
      </w:pPr>
      <w:r>
        <w:rPr>
          <w:rFonts w:ascii="Arial" w:cs="Arial" w:eastAsia="Arial" w:hAnsi="Arial"/>
          <w:b w:val="false"/>
          <w:bCs w:val="false"/>
          <w:i w:val="false"/>
          <w:iCs w:val="false"/>
          <w:color w:val="1E2A38"/>
          <w:sz w:val="22"/>
          <w:szCs w:val="22"/>
        </w:rPr>
        <w:t xml:space="preserve">Risk doesn't need to wait for the enterprise canonical model to be complete before building conformance for its own data. The CDM work and risk's own conformance work can proceed in parallel — both contribute to the analytics layer, and they meet over time as each matures.</w:t>
      </w:r>
    </w:p>
    <w:p>
      <w:pPr>
        <w:spacing w:after="120" w:before="280"/>
      </w:pPr>
      <w:r>
        <w:rPr>
          <w:rFonts w:ascii="Arial" w:cs="Arial" w:eastAsia="Arial" w:hAnsi="Arial"/>
          <w:b/>
          <w:bCs/>
          <w:color w:val="2E5C8A"/>
          <w:sz w:val="26"/>
          <w:szCs w:val="26"/>
        </w:rPr>
        <w:t xml:space="preserve">How the two tracks fit together</w:t>
      </w:r>
    </w:p>
    <w:p>
      <w:pPr>
        <w:spacing w:after="80" w:before="80"/>
        <w:jc w:val="left"/>
      </w:pPr>
      <w:r>
        <w:rPr>
          <w:rFonts w:ascii="Arial" w:cs="Arial" w:eastAsia="Arial" w:hAnsi="Arial"/>
          <w:b w:val="false"/>
          <w:bCs w:val="false"/>
          <w:i w:val="false"/>
          <w:iCs w:val="false"/>
          <w:color w:val="1E2A38"/>
          <w:sz w:val="22"/>
          <w:szCs w:val="22"/>
        </w:rPr>
        <w:t xml:space="preserve">Both tracks produce conformed entities that the analytics layer can use. They progress on their own clocks; neither blocks the other.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4"/>
              <w:left w:val="single" w:color="D0D7DE" w:sz="4"/>
              <w:bottom w:val="single" w:color="D0D7DE" w:sz="4"/>
              <w:right w:val="single" w:color="D0D7DE" w:sz="4"/>
            </w:tcBorders>
            <w:shd w:fill="EBF2FA" w:val="clear"/>
            <w:tcMar>
              <w:top w:type="dxa" w:w="120"/>
              <w:left w:type="dxa" w:w="180"/>
              <w:bottom w:type="dxa" w:w="120"/>
              <w:right w:type="dxa" w:w="180"/>
            </w:tcMar>
            <w:vAlign w:val="center"/>
          </w:tcPr>
          <w:p>
            <w:pPr>
              <w:spacing w:after="0" w:before="0"/>
            </w:pPr>
            <w:r>
              <w:rPr>
                <w:rFonts w:ascii="Arial" w:cs="Arial" w:eastAsia="Arial" w:hAnsi="Arial"/>
                <w:b/>
                <w:bCs/>
                <w:color w:val="2E5C8A"/>
                <w:sz w:val="22"/>
                <w:szCs w:val="22"/>
              </w:rPr>
              <w:t xml:space="preserve">Enterprise CDM track  →   </w:t>
            </w:r>
            <w:r>
              <w:rPr>
                <w:rFonts w:ascii="Arial" w:cs="Arial" w:eastAsia="Arial" w:hAnsi="Arial"/>
                <w:color w:val="2E5C8A"/>
                <w:sz w:val="22"/>
                <w:szCs w:val="22"/>
              </w:rPr>
              <w:t xml:space="preserve">conformed entities at canonical level (Trade, Security, Party, Account, …)</w:t>
            </w:r>
          </w:p>
        </w:tc>
      </w:tr>
      <w:tr>
        <w:tc>
          <w:tcPr>
            <w:tcW w:type="dxa" w:w="10080"/>
            <w:tcBorders>
              <w:top w:val="single" w:color="D0D7DE" w:sz="4"/>
              <w:left w:val="single" w:color="D0D7DE" w:sz="4"/>
              <w:bottom w:val="single" w:color="D0D7DE" w:sz="4"/>
              <w:right w:val="single" w:color="D0D7DE" w:sz="4"/>
            </w:tcBorders>
            <w:shd w:fill="FAFBFC" w:val="clear"/>
            <w:tcMar>
              <w:top w:type="dxa" w:w="140"/>
              <w:left w:type="dxa" w:w="1200"/>
              <w:bottom w:type="dxa" w:w="140"/>
              <w:right w:type="dxa" w:w="200"/>
            </w:tcMar>
            <w:vAlign w:val="top"/>
          </w:tcPr>
          <w:p>
            <w:pPr>
              <w:spacing w:after="0" w:before="0"/>
            </w:pPr>
            <w:r>
              <w:rPr>
                <w:rFonts w:ascii="Arial" w:cs="Arial" w:eastAsia="Arial" w:hAnsi="Arial"/>
                <w:b/>
                <w:bCs/>
                <w:color w:val="1A5D2C"/>
                <w:sz w:val="22"/>
                <w:szCs w:val="22"/>
              </w:rPr>
              <w:t xml:space="preserve">↓  </w:t>
            </w:r>
            <w:r>
              <w:rPr>
                <w:rFonts w:ascii="Arial" w:cs="Arial" w:eastAsia="Arial" w:hAnsi="Arial"/>
                <w:i/>
                <w:iCs/>
                <w:color w:val="5B6B7D"/>
                <w:sz w:val="20"/>
                <w:szCs w:val="20"/>
              </w:rPr>
              <w:t xml:space="preserve">Risk applications start consuming CDM-conformed entities as the CDM matures. They may apply application rules to shape the data, or bring in additional data from other sources — conformed into the entity shape.</w:t>
            </w:r>
          </w:p>
        </w:tc>
      </w:tr>
      <w:tr>
        <w:tc>
          <w:tcPr>
            <w:tcW w:type="dxa" w:w="10080"/>
            <w:tcBorders>
              <w:top w:val="single" w:color="D0D7DE" w:sz="4"/>
              <w:left w:val="single" w:color="D0D7DE" w:sz="4"/>
              <w:bottom w:val="single" w:color="D0D7DE" w:sz="4"/>
              <w:right w:val="single" w:color="D0D7DE" w:sz="4"/>
            </w:tcBorders>
            <w:shd w:fill="F4FBF7" w:val="clear"/>
            <w:tcMar>
              <w:top w:type="dxa" w:w="120"/>
              <w:left w:type="dxa" w:w="180"/>
              <w:bottom w:type="dxa" w:w="120"/>
              <w:right w:type="dxa" w:w="180"/>
            </w:tcMar>
            <w:vAlign w:val="center"/>
          </w:tcPr>
          <w:p>
            <w:pPr>
              <w:spacing w:after="0" w:before="0"/>
            </w:pPr>
            <w:r>
              <w:rPr>
                <w:rFonts w:ascii="Arial" w:cs="Arial" w:eastAsia="Arial" w:hAnsi="Arial"/>
                <w:b/>
                <w:bCs/>
                <w:color w:val="2F8F5B"/>
                <w:sz w:val="22"/>
                <w:szCs w:val="22"/>
              </w:rPr>
              <w:t xml:space="preserve">Risk conformance track  →   </w:t>
            </w:r>
            <w:r>
              <w:rPr>
                <w:rFonts w:ascii="Arial" w:cs="Arial" w:eastAsia="Arial" w:hAnsi="Arial"/>
                <w:color w:val="2F8F5B"/>
                <w:sz w:val="22"/>
                <w:szCs w:val="22"/>
              </w:rPr>
              <w:t xml:space="preserve">risk-conformed entities (built today)</w:t>
            </w:r>
          </w:p>
        </w:tc>
      </w:tr>
      <w:tr>
        <w:tc>
          <w:tcPr>
            <w:tcW w:type="dxa" w:w="10080"/>
            <w:tcBorders>
              <w:top w:val="single" w:color="D0D7DE" w:sz="4"/>
              <w:left w:val="single" w:color="D0D7DE" w:sz="4"/>
              <w:bottom w:val="single" w:color="D0D7DE" w:sz="4"/>
              <w:right w:val="single" w:color="D0D7DE" w:sz="4"/>
            </w:tcBorders>
            <w:shd w:fill="EAF6EE" w:val="clear"/>
            <w:tcMar>
              <w:top w:type="dxa" w:w="140"/>
              <w:left w:type="dxa" w:w="200"/>
              <w:bottom w:type="dxa" w:w="140"/>
              <w:right w:type="dxa" w:w="200"/>
            </w:tcMar>
            <w:vAlign w:val="center"/>
          </w:tcPr>
          <w:p>
            <w:pPr>
              <w:spacing w:after="0" w:before="0"/>
              <w:jc w:val="center"/>
            </w:pPr>
            <w:r>
              <w:rPr>
                <w:rFonts w:ascii="Arial" w:cs="Arial" w:eastAsia="Arial" w:hAnsi="Arial"/>
                <w:b/>
                <w:bCs/>
                <w:color w:val="1A5D2C"/>
                <w:sz w:val="24"/>
                <w:szCs w:val="24"/>
              </w:rPr>
              <w:t xml:space="preserve">Analytics layer </w:t>
            </w:r>
            <w:r>
              <w:rPr>
                <w:rFonts w:ascii="Arial" w:cs="Arial" w:eastAsia="Arial" w:hAnsi="Arial"/>
                <w:color w:val="1A5D2C"/>
                <w:sz w:val="22"/>
                <w:szCs w:val="22"/>
              </w:rPr>
              <w:t xml:space="preserve">consumes from BOTH risk-conformed entities and CDM-conformed entities, as each becomes available.</w:t>
            </w:r>
          </w:p>
        </w:tc>
      </w:tr>
    </w:tbl>
    <w:p>
      <w:pPr>
        <w:pBdr>
          <w:top w:val="single" w:color="EAF6EE" w:sz="2"/>
          <w:left w:val="single" w:color="1A5D2C" w:sz="24" w:space="8"/>
          <w:bottom w:val="single" w:color="EAF6EE" w:sz="2"/>
          <w:right w:val="single" w:color="EAF6EE" w:sz="2"/>
        </w:pBdr>
        <w:shd w:fill="EAF6EE" w:val="clear"/>
        <w:spacing w:after="200" w:before="200"/>
        <w:ind w:left="200"/>
      </w:pPr>
      <w:r>
        <w:rPr>
          <w:rFonts w:ascii="Arial" w:cs="Arial" w:eastAsia="Arial" w:hAnsi="Arial"/>
          <w:b/>
          <w:bCs/>
          <w:color w:val="1A5D2C"/>
          <w:sz w:val="22"/>
          <w:szCs w:val="22"/>
        </w:rPr>
        <w:t xml:space="preserve">The point. </w:t>
      </w:r>
      <w:r>
        <w:rPr>
          <w:rFonts w:ascii="Arial" w:cs="Arial" w:eastAsia="Arial" w:hAnsi="Arial"/>
          <w:color w:val="1A5D2C"/>
          <w:sz w:val="22"/>
          <w:szCs w:val="22"/>
        </w:rPr>
        <w:t xml:space="preserve">Risk applications today work with their own data shapes built around the sources they consume — they haven't yet started consuming from the CDM. Risk's conformance work builds a usable foundation now, using what risk has. When the CDM matures for an entity, applications can migrate to consume CDM-conformed entities and extend them with additional conformed data. Analytics doesn't have to choose one or the other — it uses both, blended as appropriate.</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Current state</w:t>
      </w:r>
    </w:p>
    <w:p>
      <w:pPr>
        <w:spacing w:after="80" w:before="80"/>
        <w:jc w:val="left"/>
      </w:pPr>
      <w:r>
        <w:rPr>
          <w:rFonts w:ascii="Arial" w:cs="Arial" w:eastAsia="Arial" w:hAnsi="Arial"/>
          <w:b w:val="false"/>
          <w:bCs w:val="false"/>
          <w:i w:val="false"/>
          <w:iCs w:val="false"/>
          <w:color w:val="1E2A38"/>
          <w:sz w:val="22"/>
          <w:szCs w:val="22"/>
        </w:rPr>
        <w:t xml:space="preserve">Several pieces are already in place. The strategy below builds on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4"/>
              <w:left w:val="single" w:color="D0D7DE" w:sz="4"/>
              <w:bottom w:val="single" w:color="D0D7DE" w:sz="4"/>
              <w:right w:val="single" w:color="D0D7DE" w:sz="4"/>
            </w:tcBorders>
            <w:shd w:fill="FFFFFF" w:val="clear"/>
            <w:tcMar>
              <w:top w:type="dxa" w:w="140"/>
              <w:left w:type="dxa" w:w="200"/>
              <w:bottom w:type="dxa" w:w="140"/>
              <w:right w:type="dxa" w:w="200"/>
            </w:tcMar>
          </w:tcPr>
          <w:p>
            <w:pPr>
              <w:spacing w:after="60" w:before="0"/>
            </w:pPr>
            <w:r>
              <w:rPr>
                <w:rFonts w:ascii="Arial" w:cs="Arial" w:eastAsia="Arial" w:hAnsi="Arial"/>
                <w:b/>
                <w:bCs/>
                <w:color w:val="2F8F5B"/>
                <w:sz w:val="24"/>
                <w:szCs w:val="24"/>
              </w:rPr>
              <w:t xml:space="preserve">Risk Data Catalog</w:t>
            </w:r>
          </w:p>
          <w:p>
            <w:pPr>
              <w:spacing w:after="60" w:before="0"/>
            </w:pPr>
            <w:r>
              <w:rPr>
                <w:rFonts w:ascii="Arial" w:cs="Arial" w:eastAsia="Arial" w:hAnsi="Arial"/>
                <w:color w:val="1E2A38"/>
                <w:sz w:val="22"/>
                <w:szCs w:val="22"/>
              </w:rPr>
              <w:t xml:space="preserve">Records the source-to-application relationships across CCR, Market Risk, Funding, Liquidity, Valuation Services, and the other product groups.</w:t>
            </w:r>
          </w:p>
          <w:p>
            <w:pPr>
              <w:pBdr>
                <w:top w:val="dashed" w:color="B9772A" w:sz="4"/>
                <w:left w:val="dashed" w:color="B9772A" w:sz="4"/>
                <w:bottom w:val="dashed" w:color="B9772A" w:sz="4"/>
                <w:right w:val="dashed" w:color="B9772A" w:sz="4"/>
              </w:pBdr>
              <w:shd w:fill="FDF5E0" w:val="clear"/>
              <w:spacing w:after="0" w:before="60"/>
              <w:ind w:left="100"/>
            </w:pPr>
            <w:r>
              <w:rPr>
                <w:rFonts w:ascii="Arial" w:cs="Arial" w:eastAsia="Arial" w:hAnsi="Arial"/>
                <w:i/>
                <w:iCs/>
                <w:color w:val="B9772A"/>
                <w:sz w:val="20"/>
                <w:szCs w:val="20"/>
              </w:rPr>
              <w:t xml:space="preserve">[Confluence link — Risk Data Catalog]</w:t>
            </w:r>
          </w:p>
        </w:tc>
      </w:tr>
      <w:tr>
        <w:tc>
          <w:tcPr>
            <w:tcW w:type="dxa" w:w="10080"/>
            <w:tcBorders>
              <w:top w:val="single" w:color="D0D7DE" w:sz="4"/>
              <w:left w:val="single" w:color="D0D7DE" w:sz="4"/>
              <w:bottom w:val="single" w:color="D0D7DE" w:sz="4"/>
              <w:right w:val="single" w:color="D0D7DE" w:sz="4"/>
            </w:tcBorders>
            <w:shd w:fill="FFFFFF" w:val="clear"/>
            <w:tcMar>
              <w:top w:type="dxa" w:w="140"/>
              <w:left w:type="dxa" w:w="200"/>
              <w:bottom w:type="dxa" w:w="140"/>
              <w:right w:type="dxa" w:w="200"/>
            </w:tcMar>
          </w:tcPr>
          <w:p>
            <w:pPr>
              <w:spacing w:after="60" w:before="0"/>
            </w:pPr>
            <w:r>
              <w:rPr>
                <w:rFonts w:ascii="Arial" w:cs="Arial" w:eastAsia="Arial" w:hAnsi="Arial"/>
                <w:b/>
                <w:bCs/>
                <w:color w:val="2F8F5B"/>
                <w:sz w:val="24"/>
                <w:szCs w:val="24"/>
              </w:rPr>
              <w:t xml:space="preserve">The Databricks platform</w:t>
            </w:r>
          </w:p>
          <w:p>
            <w:pPr>
              <w:spacing w:after="0" w:before="0"/>
            </w:pPr>
            <w:r>
              <w:rPr>
                <w:rFonts w:ascii="Arial" w:cs="Arial" w:eastAsia="Arial" w:hAnsi="Arial"/>
                <w:color w:val="1E2A38"/>
                <w:sz w:val="22"/>
                <w:szCs w:val="22"/>
              </w:rPr>
              <w:t xml:space="preserve">The consolidation point for risk data. Unity Catalog provides the governance layer that the conformance work runs on top of.</w:t>
            </w:r>
          </w:p>
        </w:tc>
      </w:tr>
      <w:tr>
        <w:tc>
          <w:tcPr>
            <w:tcW w:type="dxa" w:w="10080"/>
            <w:tcBorders>
              <w:top w:val="single" w:color="D0D7DE" w:sz="4"/>
              <w:left w:val="single" w:color="D0D7DE" w:sz="4"/>
              <w:bottom w:val="single" w:color="D0D7DE" w:sz="4"/>
              <w:right w:val="single" w:color="D0D7DE" w:sz="4"/>
            </w:tcBorders>
            <w:shd w:fill="FFFFFF" w:val="clear"/>
            <w:tcMar>
              <w:top w:type="dxa" w:w="140"/>
              <w:left w:type="dxa" w:w="200"/>
              <w:bottom w:type="dxa" w:w="140"/>
              <w:right w:type="dxa" w:w="200"/>
            </w:tcMar>
          </w:tcPr>
          <w:p>
            <w:pPr>
              <w:spacing w:after="60" w:before="0"/>
            </w:pPr>
            <w:r>
              <w:rPr>
                <w:rFonts w:ascii="Arial" w:cs="Arial" w:eastAsia="Arial" w:hAnsi="Arial"/>
                <w:b/>
                <w:bCs/>
                <w:color w:val="2F8F5B"/>
                <w:sz w:val="24"/>
                <w:szCs w:val="24"/>
              </w:rPr>
              <w:t xml:space="preserve">The enterprise canonical data model effort</w:t>
            </w:r>
          </w:p>
          <w:p>
            <w:pPr>
              <w:spacing w:after="0" w:before="0"/>
            </w:pPr>
            <w:r>
              <w:rPr>
                <w:rFonts w:ascii="Arial" w:cs="Arial" w:eastAsia="Arial" w:hAnsi="Arial"/>
                <w:color w:val="1E2A38"/>
                <w:sz w:val="22"/>
                <w:szCs w:val="22"/>
              </w:rPr>
              <w:t xml:space="preserve">Addresses entities that span domains — Trade, Security, Party, Account. Risk contributes to it; risk's own work doesn't pause for it.</w:t>
            </w:r>
          </w:p>
        </w:tc>
      </w:tr>
    </w:tbl>
    <w:p>
      <w:pPr>
        <w:spacing w:after="100" w:before="200"/>
        <w:jc w:val="left"/>
      </w:pPr>
      <w:r>
        <w:rPr>
          <w:rFonts w:ascii="Arial" w:cs="Arial" w:eastAsia="Arial" w:hAnsi="Arial"/>
          <w:b w:val="false"/>
          <w:bCs w:val="false"/>
          <w:i w:val="false"/>
          <w:iCs w:val="false"/>
          <w:color w:val="1E2A38"/>
          <w:sz w:val="22"/>
          <w:szCs w:val="22"/>
        </w:rPr>
        <w:t xml:space="preserve">An example use case that was shared with us — the CCR / Collateral analytical work — shows the dimensional model approach concretely and surfaces where conformance gaps appear in real cross-application analytics. It's referenced here as an illustration, not as a TD asset.</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The conformance strategy — three layers</w:t>
      </w:r>
    </w:p>
    <w:p>
      <w:pPr>
        <w:spacing w:after="80" w:before="80"/>
        <w:jc w:val="left"/>
      </w:pPr>
      <w:r>
        <w:rPr>
          <w:rFonts w:ascii="Arial" w:cs="Arial" w:eastAsia="Arial" w:hAnsi="Arial"/>
          <w:b w:val="false"/>
          <w:bCs w:val="false"/>
          <w:i w:val="false"/>
          <w:iCs w:val="false"/>
          <w:color w:val="1E2A38"/>
          <w:sz w:val="22"/>
          <w:szCs w:val="22"/>
        </w:rPr>
        <w:t xml:space="preserve">Conformance work proceeds in three nested layers. Each layer is more tractable than the one above it, so each builds the foundation for the next.</w:t>
      </w:r>
    </w:p>
    <w:p>
      <w:pPr>
        <w:spacing w:after="120" w:before="280"/>
      </w:pPr>
      <w:r>
        <w:rPr>
          <w:rFonts w:ascii="Arial" w:cs="Arial" w:eastAsia="Arial" w:hAnsi="Arial"/>
          <w:b/>
          <w:bCs/>
          <w:color w:val="2E5C8A"/>
          <w:sz w:val="26"/>
          <w:szCs w:val="26"/>
        </w:rPr>
        <w:t xml:space="preserve">1. Inside each application</w:t>
      </w:r>
    </w:p>
    <w:p>
      <w:pPr>
        <w:spacing w:after="80" w:before="80"/>
        <w:jc w:val="left"/>
      </w:pPr>
      <w:r>
        <w:rPr>
          <w:rFonts w:ascii="Arial" w:cs="Arial" w:eastAsia="Arial" w:hAnsi="Arial"/>
          <w:b w:val="false"/>
          <w:bCs w:val="false"/>
          <w:i w:val="false"/>
          <w:iCs w:val="false"/>
          <w:color w:val="1E2A38"/>
          <w:sz w:val="22"/>
          <w:szCs w:val="22"/>
        </w:rPr>
        <w:t xml:space="preserve">Within one application, identify the entities the application produces, and resolve them to conformed definitions. This is local work — the application team is in control of its own outputs and its own vocabulary. It's where conformance starts.</w:t>
      </w:r>
    </w:p>
    <w:p>
      <w:pPr>
        <w:spacing w:after="120" w:before="280"/>
      </w:pPr>
      <w:r>
        <w:rPr>
          <w:rFonts w:ascii="Arial" w:cs="Arial" w:eastAsia="Arial" w:hAnsi="Arial"/>
          <w:b/>
          <w:bCs/>
          <w:color w:val="2E5C8A"/>
          <w:sz w:val="26"/>
          <w:szCs w:val="26"/>
        </w:rPr>
        <w:t xml:space="preserve">2. Across applications inside a product group</w:t>
      </w:r>
    </w:p>
    <w:p>
      <w:pPr>
        <w:spacing w:after="80" w:before="80"/>
        <w:jc w:val="left"/>
      </w:pPr>
      <w:r>
        <w:rPr>
          <w:rFonts w:ascii="Arial" w:cs="Arial" w:eastAsia="Arial" w:hAnsi="Arial"/>
          <w:b w:val="false"/>
          <w:bCs w:val="false"/>
          <w:i w:val="false"/>
          <w:iCs w:val="false"/>
          <w:color w:val="1E2A38"/>
          <w:sz w:val="22"/>
          <w:szCs w:val="22"/>
        </w:rPr>
        <w:t xml:space="preserve">Once each application in a group has its own internal conformance, the group holds a cross-application comparison. Applications in the same product group share domain language and consumers — though they often consume from different upstream sources. The same entity (Counterparty, Agreement, Position) may be shaped differently across them. The group settles a conformed version for entities it owns. Entities that span groups or need enterprise input are deferred.</w:t>
      </w:r>
    </w:p>
    <w:p>
      <w:pPr>
        <w:spacing w:after="120" w:before="280"/>
      </w:pPr>
      <w:r>
        <w:rPr>
          <w:rFonts w:ascii="Arial" w:cs="Arial" w:eastAsia="Arial" w:hAnsi="Arial"/>
          <w:b/>
          <w:bCs/>
          <w:color w:val="2E5C8A"/>
          <w:sz w:val="26"/>
          <w:szCs w:val="26"/>
        </w:rPr>
        <w:t xml:space="preserve">3. Across product groups</w:t>
      </w:r>
    </w:p>
    <w:p>
      <w:pPr>
        <w:spacing w:after="80" w:before="80"/>
        <w:jc w:val="left"/>
      </w:pPr>
      <w:r>
        <w:rPr>
          <w:rFonts w:ascii="Arial" w:cs="Arial" w:eastAsia="Arial" w:hAnsi="Arial"/>
          <w:b w:val="false"/>
          <w:bCs w:val="false"/>
          <w:i w:val="false"/>
          <w:iCs w:val="false"/>
          <w:color w:val="1E2A38"/>
          <w:sz w:val="22"/>
          <w:szCs w:val="22"/>
        </w:rPr>
        <w:t xml:space="preserve">Once each group has its own conformance picture, the risk-wide comparison happens. Entities that live mainly in one group can be settled there. Entities that span groups — Counterparty being the most obvious, since it appears everywhere — get conformed at risk level. Findings from this layer feed back to the enterprise canonical effort for entities that genuinely span beyond risk.</w:t>
      </w:r>
    </w:p>
    <w:p>
      <w:pPr>
        <w:spacing w:after="120" w:before="280"/>
      </w:pPr>
      <w:r>
        <w:rPr>
          <w:rFonts w:ascii="Arial" w:cs="Arial" w:eastAsia="Arial" w:hAnsi="Arial"/>
          <w:b/>
          <w:bCs/>
          <w:color w:val="2E5C8A"/>
          <w:sz w:val="26"/>
          <w:szCs w:val="26"/>
        </w:rPr>
        <w:t xml:space="preserve">Why this order</w:t>
      </w:r>
    </w:p>
    <w:p>
      <w:pPr>
        <w:pStyle w:val="ListParagraph"/>
        <w:numPr>
          <w:ilvl w:val="0"/>
          <w:numId w:val="2"/>
        </w:numPr>
        <w:spacing w:after="40" w:before="40"/>
      </w:pPr>
      <w:r>
        <w:rPr>
          <w:rFonts w:ascii="Arial" w:cs="Arial" w:eastAsia="Arial" w:hAnsi="Arial"/>
          <w:b/>
          <w:bCs/>
          <w:color w:val="1E2A38"/>
          <w:sz w:val="22"/>
          <w:szCs w:val="22"/>
        </w:rPr>
        <w:t xml:space="preserve">The conversation is easier inside an application, then inside a group. </w:t>
      </w:r>
      <w:r>
        <w:rPr>
          <w:rFonts w:ascii="Arial" w:cs="Arial" w:eastAsia="Arial" w:hAnsi="Arial"/>
          <w:color w:val="1E2A38"/>
          <w:sz w:val="22"/>
          <w:szCs w:val="22"/>
        </w:rPr>
        <w:t xml:space="preserve">Teams with shared context agree faster. Conformance discussions converge most quickly when the participants already share vocabulary.</w:t>
      </w:r>
    </w:p>
    <w:p>
      <w:pPr>
        <w:pStyle w:val="ListParagraph"/>
        <w:numPr>
          <w:ilvl w:val="0"/>
          <w:numId w:val="2"/>
        </w:numPr>
        <w:spacing w:after="40" w:before="40"/>
      </w:pPr>
      <w:r>
        <w:rPr>
          <w:rFonts w:ascii="Arial" w:cs="Arial" w:eastAsia="Arial" w:hAnsi="Arial"/>
          <w:b/>
          <w:bCs/>
          <w:color w:val="1E2A38"/>
          <w:sz w:val="22"/>
          <w:szCs w:val="22"/>
        </w:rPr>
        <w:t xml:space="preserve">Each layer moves at its own pace. </w:t>
      </w:r>
      <w:r>
        <w:rPr>
          <w:rFonts w:ascii="Arial" w:cs="Arial" w:eastAsia="Arial" w:hAnsi="Arial"/>
          <w:color w:val="1E2A38"/>
          <w:sz w:val="22"/>
          <w:szCs w:val="22"/>
        </w:rPr>
        <w:t xml:space="preserve">No application waits for another. No group waits for another. Where the conversation is most concrete, the work can start now.</w:t>
      </w:r>
    </w:p>
    <w:p>
      <w:pPr>
        <w:pStyle w:val="ListParagraph"/>
        <w:numPr>
          <w:ilvl w:val="0"/>
          <w:numId w:val="2"/>
        </w:numPr>
        <w:spacing w:after="40" w:before="40"/>
      </w:pPr>
      <w:r>
        <w:rPr>
          <w:rFonts w:ascii="Arial" w:cs="Arial" w:eastAsia="Arial" w:hAnsi="Arial"/>
          <w:b/>
          <w:bCs/>
          <w:color w:val="1E2A38"/>
          <w:sz w:val="22"/>
          <w:szCs w:val="22"/>
        </w:rPr>
        <w:t xml:space="preserve">Cross-group work has a foundation to land on. </w:t>
      </w:r>
      <w:r>
        <w:rPr>
          <w:rFonts w:ascii="Arial" w:cs="Arial" w:eastAsia="Arial" w:hAnsi="Arial"/>
          <w:color w:val="1E2A38"/>
          <w:sz w:val="22"/>
          <w:szCs w:val="22"/>
        </w:rPr>
        <w:t xml:space="preserve">When the risk-wide comparison happens, each group brings a coherent picture rather than ad-hoc per-application submissions.</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Where the four threads sit in this strategy</w:t>
      </w:r>
    </w:p>
    <w:p>
      <w:pPr>
        <w:spacing w:after="80" w:before="80"/>
        <w:jc w:val="left"/>
      </w:pPr>
      <w:r>
        <w:rPr>
          <w:rFonts w:ascii="Arial" w:cs="Arial" w:eastAsia="Arial" w:hAnsi="Arial"/>
          <w:b w:val="false"/>
          <w:bCs w:val="false"/>
          <w:i w:val="false"/>
          <w:iCs w:val="false"/>
          <w:color w:val="1E2A38"/>
          <w:sz w:val="22"/>
          <w:szCs w:val="22"/>
        </w:rPr>
        <w:t xml:space="preserve">The conformance work isn't one shape. Four threads progress in parallel. Each contributes entities to the conformance work; each starts differently:</w:t>
      </w:r>
    </w:p>
    <w:p>
      <w:pPr>
        <w:pStyle w:val="ListParagraph"/>
        <w:numPr>
          <w:ilvl w:val="0"/>
          <w:numId w:val="2"/>
        </w:numPr>
        <w:spacing w:after="40" w:before="40"/>
      </w:pPr>
      <w:r>
        <w:rPr>
          <w:rFonts w:ascii="Arial" w:cs="Arial" w:eastAsia="Arial" w:hAnsi="Arial"/>
          <w:b/>
          <w:bCs/>
          <w:color w:val="1E2A38"/>
          <w:sz w:val="22"/>
          <w:szCs w:val="22"/>
        </w:rPr>
        <w:t xml:space="preserve">Business defined use case — </w:t>
      </w:r>
      <w:r>
        <w:rPr>
          <w:rFonts w:ascii="Arial" w:cs="Arial" w:eastAsia="Arial" w:hAnsi="Arial"/>
          <w:color w:val="1E2A38"/>
          <w:sz w:val="22"/>
          <w:szCs w:val="22"/>
        </w:rPr>
        <w:t xml:space="preserve">a use case owner submits an intake; a data product gets built; entities along the way get conformed.</w:t>
      </w:r>
    </w:p>
    <w:p>
      <w:pPr>
        <w:pStyle w:val="ListParagraph"/>
        <w:numPr>
          <w:ilvl w:val="0"/>
          <w:numId w:val="2"/>
        </w:numPr>
        <w:spacing w:after="40" w:before="40"/>
      </w:pPr>
      <w:r>
        <w:rPr>
          <w:rFonts w:ascii="Arial" w:cs="Arial" w:eastAsia="Arial" w:hAnsi="Arial"/>
          <w:b/>
          <w:bCs/>
          <w:color w:val="1E2A38"/>
          <w:sz w:val="22"/>
          <w:szCs w:val="22"/>
        </w:rPr>
        <w:t xml:space="preserve">Business discovery — </w:t>
      </w:r>
      <w:r>
        <w:rPr>
          <w:rFonts w:ascii="Arial" w:cs="Arial" w:eastAsia="Arial" w:hAnsi="Arial"/>
          <w:color w:val="1E2A38"/>
          <w:sz w:val="22"/>
          <w:szCs w:val="22"/>
        </w:rPr>
        <w:t xml:space="preserve">a use case owner explores before they know what they need. Findings may turn into defined use cases later.</w:t>
      </w:r>
    </w:p>
    <w:p>
      <w:pPr>
        <w:pStyle w:val="ListParagraph"/>
        <w:numPr>
          <w:ilvl w:val="0"/>
          <w:numId w:val="2"/>
        </w:numPr>
        <w:spacing w:after="40" w:before="40"/>
      </w:pPr>
      <w:r>
        <w:rPr>
          <w:rFonts w:ascii="Arial" w:cs="Arial" w:eastAsia="Arial" w:hAnsi="Arial"/>
          <w:b/>
          <w:bCs/>
          <w:color w:val="1E2A38"/>
          <w:sz w:val="22"/>
          <w:szCs w:val="22"/>
        </w:rPr>
        <w:t xml:space="preserve">Application elevation — </w:t>
      </w:r>
      <w:r>
        <w:rPr>
          <w:rFonts w:ascii="Arial" w:cs="Arial" w:eastAsia="Arial" w:hAnsi="Arial"/>
          <w:color w:val="1E2A38"/>
          <w:sz w:val="22"/>
          <w:szCs w:val="22"/>
        </w:rPr>
        <w:t xml:space="preserve">an application's existing data and its supporting entities are elevated to a data product.</w:t>
      </w:r>
    </w:p>
    <w:p>
      <w:pPr>
        <w:pStyle w:val="ListParagraph"/>
        <w:numPr>
          <w:ilvl w:val="0"/>
          <w:numId w:val="2"/>
        </w:numPr>
        <w:spacing w:after="40" w:before="40"/>
      </w:pPr>
      <w:r>
        <w:rPr>
          <w:rFonts w:ascii="Arial" w:cs="Arial" w:eastAsia="Arial" w:hAnsi="Arial"/>
          <w:b/>
          <w:bCs/>
          <w:color w:val="1E2A38"/>
          <w:sz w:val="22"/>
          <w:szCs w:val="22"/>
        </w:rPr>
        <w:t xml:space="preserve">Application migration / new application — </w:t>
      </w:r>
      <w:r>
        <w:rPr>
          <w:rFonts w:ascii="Arial" w:cs="Arial" w:eastAsia="Arial" w:hAnsi="Arial"/>
          <w:color w:val="1E2A38"/>
          <w:sz w:val="22"/>
          <w:szCs w:val="22"/>
        </w:rPr>
        <w:t xml:space="preserve">an application moves its batch processing into Databricks, or a new application is built directly on the platform. Lineage is captured from day one.</w:t>
      </w:r>
    </w:p>
    <w:p>
      <w:pPr>
        <w:spacing w:after="100" w:before="120"/>
        <w:jc w:val="left"/>
      </w:pPr>
      <w:r>
        <w:rPr>
          <w:rFonts w:ascii="Arial" w:cs="Arial" w:eastAsia="Arial" w:hAnsi="Arial"/>
          <w:b w:val="false"/>
          <w:bCs w:val="false"/>
          <w:i w:val="false"/>
          <w:iCs w:val="false"/>
          <w:color w:val="1E2A38"/>
          <w:sz w:val="22"/>
          <w:szCs w:val="22"/>
        </w:rPr>
        <w:t xml:space="preserve">All four feed the same conformance work. None blocks the others. The operational detail for each thread lives in the onboarding page.</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First movers — a suggestion</w:t>
      </w:r>
    </w:p>
    <w:p>
      <w:pPr>
        <w:spacing w:after="80" w:before="80"/>
        <w:jc w:val="left"/>
      </w:pPr>
      <w:r>
        <w:rPr>
          <w:rFonts w:ascii="Arial" w:cs="Arial" w:eastAsia="Arial" w:hAnsi="Arial"/>
          <w:b w:val="false"/>
          <w:bCs w:val="false"/>
          <w:i w:val="false"/>
          <w:iCs w:val="false"/>
          <w:color w:val="1E2A38"/>
          <w:sz w:val="22"/>
          <w:szCs w:val="22"/>
        </w:rPr>
        <w:t xml:space="preserve">The groups most ready to begin are the ones where the analytical conversation is already happening and where conformance gaps are already visible. Where business consumers are engaged with the analytical work, the conversation tends to be more concrete.</w:t>
      </w:r>
    </w:p>
    <w:p>
      <w:pPr>
        <w:spacing w:after="80" w:before="80"/>
        <w:jc w:val="left"/>
      </w:pPr>
      <w:r>
        <w:rPr>
          <w:rFonts w:ascii="Arial" w:cs="Arial" w:eastAsia="Arial" w:hAnsi="Arial"/>
          <w:b w:val="false"/>
          <w:bCs w:val="false"/>
          <w:i w:val="false"/>
          <w:iCs w:val="false"/>
          <w:color w:val="1E2A38"/>
          <w:sz w:val="22"/>
          <w:szCs w:val="22"/>
        </w:rPr>
        <w:t xml:space="preserve">Other groups can begin when they're ready. This isn't a forced sequence — just a suggestion that the early movers go where the conversation has the most traction.</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What can happen in the next six months</w:t>
      </w:r>
    </w:p>
    <w:p>
      <w:pPr>
        <w:spacing w:after="80" w:before="80"/>
        <w:jc w:val="left"/>
      </w:pPr>
      <w:r>
        <w:rPr>
          <w:rFonts w:ascii="Arial" w:cs="Arial" w:eastAsia="Arial" w:hAnsi="Arial"/>
          <w:b w:val="false"/>
          <w:bCs w:val="false"/>
          <w:i w:val="false"/>
          <w:iCs w:val="false"/>
          <w:color w:val="1E2A38"/>
          <w:sz w:val="22"/>
          <w:szCs w:val="22"/>
        </w:rPr>
        <w:t xml:space="preserve">The following are achievable outcomes if groups begin the work soon. They're not targets — they're a picture of what an early stretch of the journey could produce.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FBF7" w:sz="4"/>
              <w:left w:val="single" w:color="2F8F5B" w:sz="24"/>
              <w:bottom w:val="single" w:color="F4FBF7" w:sz="4"/>
              <w:right w:val="single" w:color="F4FBF7" w:sz="4"/>
            </w:tcBorders>
            <w:shd w:fill="F4FBF7" w:val="clear"/>
            <w:tcMar>
              <w:top w:type="dxa" w:w="160"/>
              <w:left w:type="dxa" w:w="280"/>
              <w:bottom w:type="dxa" w:w="160"/>
              <w:right w:type="dxa" w:w="200"/>
            </w:tcMar>
          </w:tcPr>
          <w:p>
            <w:pPr>
              <w:pStyle w:val="ListParagraph"/>
              <w:numPr>
                <w:ilvl w:val="0"/>
                <w:numId w:val="2"/>
              </w:numPr>
              <w:spacing w:after="60" w:before="60"/>
            </w:pPr>
            <w:r>
              <w:rPr>
                <w:rFonts w:ascii="Arial" w:cs="Arial" w:eastAsia="Arial" w:hAnsi="Arial"/>
                <w:color w:val="1E2A38"/>
                <w:sz w:val="22"/>
                <w:szCs w:val="22"/>
              </w:rPr>
              <w:t xml:space="preserve">Each participating product group has completed the inside-application and across-application-in-group conformance work for the entities most relevant to its applications.</w:t>
            </w:r>
          </w:p>
          <w:p>
            <w:pPr>
              <w:pStyle w:val="ListParagraph"/>
              <w:numPr>
                <w:ilvl w:val="0"/>
                <w:numId w:val="2"/>
              </w:numPr>
              <w:spacing w:after="60" w:before="60"/>
            </w:pPr>
            <w:r>
              <w:rPr>
                <w:rFonts w:ascii="Arial" w:cs="Arial" w:eastAsia="Arial" w:hAnsi="Arial"/>
                <w:color w:val="1E2A38"/>
                <w:sz w:val="22"/>
                <w:szCs w:val="22"/>
              </w:rPr>
              <w:t xml:space="preserve">The Risk Data Catalog has been extended with attribute-level mappings for published outputs — starting with the columns that appear in reports and distributed extracts.</w:t>
            </w:r>
          </w:p>
          <w:p>
            <w:pPr>
              <w:pStyle w:val="ListParagraph"/>
              <w:numPr>
                <w:ilvl w:val="0"/>
                <w:numId w:val="2"/>
              </w:numPr>
              <w:spacing w:after="60" w:before="60"/>
            </w:pPr>
            <w:r>
              <w:rPr>
                <w:rFonts w:ascii="Arial" w:cs="Arial" w:eastAsia="Arial" w:hAnsi="Arial"/>
                <w:color w:val="1E2A38"/>
                <w:sz w:val="22"/>
                <w:szCs w:val="22"/>
              </w:rPr>
              <w:t xml:space="preserve">A risk-wide register of conformed entities has its first entries — a small number of entities with conformed definitions, plus a clear list of deferrals (cross-group or enterprise).</w:t>
            </w:r>
          </w:p>
          <w:p>
            <w:pPr>
              <w:pStyle w:val="ListParagraph"/>
              <w:numPr>
                <w:ilvl w:val="0"/>
                <w:numId w:val="2"/>
              </w:numPr>
              <w:spacing w:after="60" w:before="60"/>
            </w:pPr>
            <w:r>
              <w:rPr>
                <w:rFonts w:ascii="Arial" w:cs="Arial" w:eastAsia="Arial" w:hAnsi="Arial"/>
                <w:color w:val="1E2A38"/>
                <w:sz w:val="22"/>
                <w:szCs w:val="22"/>
              </w:rPr>
              <w:t xml:space="preserve">Analytical work running on top of conformed data starts to demonstrate the difference. The gap between "the analytics works" and "the analytics is trusted for cross-application use" begins to close.</w:t>
            </w:r>
          </w:p>
          <w:p>
            <w:pPr>
              <w:pStyle w:val="ListParagraph"/>
              <w:numPr>
                <w:ilvl w:val="0"/>
                <w:numId w:val="2"/>
              </w:numPr>
              <w:spacing w:after="60" w:before="60"/>
            </w:pPr>
            <w:r>
              <w:rPr>
                <w:rFonts w:ascii="Arial" w:cs="Arial" w:eastAsia="Arial" w:hAnsi="Arial"/>
                <w:color w:val="1E2A38"/>
                <w:sz w:val="22"/>
                <w:szCs w:val="22"/>
              </w:rPr>
              <w:t xml:space="preserve">The conversation with enterprise on cross-domain entities — Trade, Security, Party, Account — is informed by what risk has discovered in its own work.</w:t>
            </w:r>
          </w:p>
        </w:tc>
      </w:tr>
    </w:tbl>
    <w:p>
      <w:pPr>
        <w:spacing w:after="200" w:before="160"/>
        <w:jc w:val="left"/>
      </w:pPr>
      <w:r>
        <w:rPr>
          <w:rFonts w:ascii="Arial" w:cs="Arial" w:eastAsia="Arial" w:hAnsi="Arial"/>
          <w:b w:val="false"/>
          <w:bCs w:val="false"/>
          <w:i w:val="false"/>
          <w:iCs w:val="false"/>
          <w:color w:val="1E2A38"/>
          <w:sz w:val="22"/>
          <w:szCs w:val="22"/>
        </w:rPr>
        <w:t xml:space="preserve">This is intentionally modest. The first six months establish the pattern, not the finished outcome.</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Where the analytical and conformance work meet</w:t>
      </w:r>
    </w:p>
    <w:p>
      <w:pPr>
        <w:spacing w:after="80" w:before="80"/>
        <w:jc w:val="left"/>
      </w:pPr>
      <w:r>
        <w:rPr>
          <w:rFonts w:ascii="Arial" w:cs="Arial" w:eastAsia="Arial" w:hAnsi="Arial"/>
          <w:b w:val="false"/>
          <w:bCs w:val="false"/>
          <w:i w:val="false"/>
          <w:iCs w:val="false"/>
          <w:color w:val="1E2A38"/>
          <w:sz w:val="22"/>
          <w:szCs w:val="22"/>
        </w:rPr>
        <w:t xml:space="preserve">The two tracks (analytical work and conformance work) are independent but they help each other. Analytical work keeps running on the data that's available today. As conformance matures in the source applications, the analytics built on top become more reliable for cross-application use.</w:t>
      </w:r>
    </w:p>
    <w:p>
      <w:pPr>
        <w:pStyle w:val="ListParagraph"/>
        <w:numPr>
          <w:ilvl w:val="0"/>
          <w:numId w:val="2"/>
        </w:numPr>
        <w:spacing w:after="40" w:before="40"/>
      </w:pPr>
      <w:r>
        <w:rPr>
          <w:rFonts w:ascii="Arial" w:cs="Arial" w:eastAsia="Arial" w:hAnsi="Arial"/>
          <w:b w:val="false"/>
          <w:bCs w:val="false"/>
          <w:i w:val="false"/>
          <w:iCs w:val="false"/>
          <w:color w:val="1E2A38"/>
          <w:sz w:val="22"/>
          <w:szCs w:val="22"/>
        </w:rPr>
        <w:t xml:space="preserve">Analytical work builds dimensional models from current data, surfaces concrete conformance gaps through cross-application analytics, and provides a vehicle for the broader conversation about what needs to be conformed.</w:t>
      </w:r>
    </w:p>
    <w:p>
      <w:pPr>
        <w:pStyle w:val="ListParagraph"/>
        <w:numPr>
          <w:ilvl w:val="0"/>
          <w:numId w:val="2"/>
        </w:numPr>
        <w:spacing w:after="40" w:before="40"/>
      </w:pPr>
      <w:r>
        <w:rPr>
          <w:rFonts w:ascii="Arial" w:cs="Arial" w:eastAsia="Arial" w:hAnsi="Arial"/>
          <w:b w:val="false"/>
          <w:bCs w:val="false"/>
          <w:i w:val="false"/>
          <w:iCs w:val="false"/>
          <w:color w:val="1E2A38"/>
          <w:sz w:val="22"/>
          <w:szCs w:val="22"/>
        </w:rPr>
        <w:t xml:space="preserve">Conformance work resolves the gaps that the analytical work surfaces, improving the quality of the inputs the dimensional models read from, and increasing the breadth of analytics that can be trusted.</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One closing point</w:t>
      </w:r>
    </w:p>
    <w:p>
      <w:pPr>
        <w:spacing w:after="80" w:before="80"/>
        <w:jc w:val="left"/>
      </w:pPr>
      <w:r>
        <w:rPr>
          <w:rFonts w:ascii="Arial" w:cs="Arial" w:eastAsia="Arial" w:hAnsi="Arial"/>
          <w:b w:val="false"/>
          <w:bCs w:val="false"/>
          <w:i w:val="false"/>
          <w:iCs w:val="false"/>
          <w:color w:val="1E2A38"/>
          <w:sz w:val="22"/>
          <w:szCs w:val="22"/>
        </w:rPr>
        <w:t xml:space="preserve">This isn't a project that finishes. It builds up. The first few entities are the hardest; once those are done, the next ones get easier. Get started where the conversation is concrete, keep going, and the picture fills in over time.</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Related pages</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Data Modelling for Risk (parent page)]</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Onboarding to the Risk Analytics Environment]</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Conformance — the longer view]</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From query-based to model-based consumption]</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How the data contract gets built]</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Risk Data Catalog]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D"/>
        <w:sz w:val="16"/>
        <w:szCs w:val="16"/>
      </w:rPr>
      <w:t xml:space="preserve">A working strategy for starting  ·  TD Risk Data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working strategy for starting</dc:title>
  <dc:creator>TD Risk Data Platform</dc:creator>
  <dc:description>Sub-page of Data Modelling for Risk — conformance and modelling work begins within risk, in parallel with the enterprise canonical model effort.</dc:description>
  <cp:lastModifiedBy>Un-named</cp:lastModifiedBy>
  <cp:revision>1</cp:revision>
  <dcterms:created xsi:type="dcterms:W3CDTF">2026-05-26T23:54:35.739Z</dcterms:created>
  <dcterms:modified xsi:type="dcterms:W3CDTF">2026-05-26T23:54:35.752Z</dcterms:modified>
</cp:coreProperties>
</file>

<file path=docProps/custom.xml><?xml version="1.0" encoding="utf-8"?>
<Properties xmlns="http://schemas.openxmlformats.org/officeDocument/2006/custom-properties" xmlns:vt="http://schemas.openxmlformats.org/officeDocument/2006/docPropsVTypes"/>
</file>