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none" w:color="FFFFFF" w:sz="0"/>
          <w:left w:val="none" w:color="FFFFFF" w:sz="0"/>
          <w:bottom w:val="single" w:color="1A5D2C" w:sz="24" w:space="4"/>
          <w:right w:val="none" w:color="FFFFFF" w:sz="0"/>
        </w:pBdr>
        <w:spacing w:after="200" w:before="0"/>
      </w:pPr>
      <w:r>
        <w:rPr>
          <w:rFonts w:ascii="Arial" w:cs="Arial" w:eastAsia="Arial" w:hAnsi="Arial"/>
          <w:b/>
          <w:bCs/>
          <w:color w:val="1A5D2C"/>
          <w:sz w:val="40"/>
          <w:szCs w:val="40"/>
        </w:rPr>
        <w:t xml:space="preserve">Onboarding to the Risk Analytics Environment</w:t>
      </w:r>
    </w:p>
    <w:p>
      <w:pPr>
        <w:spacing w:after="200" w:before="0"/>
        <w:jc w:val="left"/>
      </w:pPr>
      <w:r>
        <w:rPr>
          <w:rFonts w:ascii="Arial" w:cs="Arial" w:eastAsia="Arial" w:hAnsi="Arial"/>
          <w:b w:val="false"/>
          <w:bCs w:val="false"/>
          <w:i/>
          <w:iCs/>
          <w:color w:val="5B6B7D"/>
          <w:sz w:val="20"/>
          <w:szCs w:val="20"/>
        </w:rPr>
        <w:t xml:space="preserve">How to bring a business use case or an application's data into the analytics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12"/>
              <w:left w:val="single" w:color="D4A017" w:sz="48"/>
              <w:bottom w:val="single" w:color="D4A017" w:sz="12"/>
              <w:right w:val="single" w:color="D4A017" w:sz="12"/>
            </w:tcBorders>
            <w:shd w:fill="FFFBEB" w:val="clear"/>
            <w:tcMar>
              <w:top w:type="dxa" w:w="160"/>
              <w:left w:type="dxa" w:w="200"/>
              <w:bottom w:type="dxa" w:w="160"/>
              <w:right w:type="dxa" w:w="200"/>
            </w:tcMar>
          </w:tcPr>
          <w:p>
            <w:pPr>
              <w:spacing w:after="100" w:before="0"/>
            </w:pPr>
            <w:r>
              <w:rPr>
                <w:rFonts w:ascii="Arial" w:cs="Arial" w:eastAsia="Arial" w:hAnsi="Arial"/>
                <w:b/>
                <w:bCs/>
                <w:color w:val="6B4F00"/>
                <w:sz w:val="18"/>
                <w:szCs w:val="18"/>
              </w:rPr>
              <w:t xml:space="preserve">⚠ TWO FOUNDATIONAL NOTES</w:t>
            </w:r>
          </w:p>
          <w:p>
            <w:pPr>
              <w:spacing w:after="100" w:before="60"/>
            </w:pPr>
            <w:r>
              <w:rPr>
                <w:rFonts w:ascii="Arial" w:cs="Arial" w:eastAsia="Arial" w:hAnsi="Arial"/>
                <w:b/>
                <w:bCs/>
                <w:color w:val="6B4F00"/>
                <w:sz w:val="20"/>
                <w:szCs w:val="20"/>
              </w:rPr>
              <w:t xml:space="preserve">Modelling is not optional. </w:t>
            </w:r>
            <w:r>
              <w:rPr>
                <w:rFonts w:ascii="Arial" w:cs="Arial" w:eastAsia="Arial" w:hAnsi="Arial"/>
                <w:color w:val="6B4F00"/>
                <w:sz w:val="20"/>
                <w:szCs w:val="20"/>
              </w:rPr>
              <w:t xml:space="preserve">Sharing data through an API, report, or feed does not remove the need for modelling — it increases it. When data crosses a boundary, the consumer loses the producer's context. The domain model carries the business entities and their relationships. The analytical model carries the facts, dimensions, and drill paths that make the data usable. Both are needed regardless of how the data is delivered.</w:t>
            </w:r>
          </w:p>
          <w:p>
            <w:pPr>
              <w:spacing w:after="0" w:before="60"/>
            </w:pPr>
            <w:r>
              <w:rPr>
                <w:rFonts w:ascii="Arial" w:cs="Arial" w:eastAsia="Arial" w:hAnsi="Arial"/>
                <w:b/>
                <w:bCs/>
                <w:color w:val="6B4F00"/>
                <w:sz w:val="20"/>
                <w:szCs w:val="20"/>
              </w:rPr>
              <w:t xml:space="preserve">Confluence is for narrative, not automation. </w:t>
            </w:r>
            <w:r>
              <w:rPr>
                <w:rFonts w:ascii="Arial" w:cs="Arial" w:eastAsia="Arial" w:hAnsi="Arial"/>
                <w:color w:val="6B4F00"/>
                <w:sz w:val="20"/>
                <w:szCs w:val="20"/>
              </w:rPr>
              <w:t xml:space="preserve">Templates may appear here as Word or Excel for readability, but the format is a choice, not a requirement. Structured artefacts that drive automation — contracts, metadata, lineage — belong in YAML or JSON under version control. Visual artefacts — canvases, diagrams — belong in PowerPoint, Miro, or rendered HTML. Confluence carries the narrative that ties everything together.</w:t>
            </w:r>
          </w:p>
        </w:tc>
      </w:tr>
    </w:tbl>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1A5D2C"/>
          <w:sz w:val="32"/>
          <w:szCs w:val="32"/>
        </w:rPr>
        <w:t xml:space="preserve">How onboarding works</w:t>
      </w:r>
    </w:p>
    <w:p>
      <w:pPr>
        <w:spacing w:after="80" w:before="80"/>
        <w:jc w:val="left"/>
      </w:pPr>
      <w:r>
        <w:rPr>
          <w:rFonts w:ascii="Arial" w:cs="Arial" w:eastAsia="Arial" w:hAnsi="Arial"/>
          <w:b w:val="false"/>
          <w:bCs w:val="false"/>
          <w:i w:val="false"/>
          <w:iCs w:val="false"/>
          <w:color w:val="1E2A38"/>
          <w:sz w:val="22"/>
          <w:szCs w:val="22"/>
        </w:rPr>
        <w:t xml:space="preserve">Anyone arriving at the analytics environment fits into one of three streams. Each stream has its threads. All threads converge into a single common downstream activity.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Pr>
          <w:p>
            <w:r>
              <w:t xml:space="preserve"/>
            </w:r>
          </w:p>
        </w:tc>
        <w:tc>
          <w:tcPr>
            <w:tcW w:type="dxa" w:w="3360"/>
            <w:tcBorders>
              <w:top w:val="single" w:color="1A5D2C" w:sz="12"/>
              <w:left w:val="single" w:color="1A5D2C" w:sz="12"/>
              <w:bottom w:val="single" w:color="1A5D2C" w:sz="12"/>
              <w:right w:val="single" w:color="1A5D2C" w:sz="12"/>
            </w:tcBorders>
            <w:shd w:fill="FFFFFF" w:val="clear"/>
            <w:tcMar>
              <w:top w:type="dxa" w:w="140"/>
              <w:left w:type="dxa" w:w="100"/>
              <w:bottom w:type="dxa" w:w="140"/>
              <w:right w:type="dxa" w:w="100"/>
            </w:tcMar>
            <w:vAlign w:val="center"/>
          </w:tcPr>
          <w:p>
            <w:pPr>
              <w:spacing w:after="0" w:before="0"/>
              <w:jc w:val="center"/>
            </w:pPr>
            <w:r>
              <w:rPr>
                <w:rFonts w:ascii="Arial" w:cs="Arial" w:eastAsia="Arial" w:hAnsi="Arial"/>
                <w:b/>
                <w:bCs/>
                <w:color w:val="1A5D2C"/>
                <w:sz w:val="22"/>
                <w:szCs w:val="22"/>
              </w:rPr>
              <w:t xml:space="preserve">Onboarding entry</w:t>
            </w:r>
          </w:p>
        </w:tc>
        <w:tc>
          <w:tcPr>
            <w:tcW w:type="dxa" w:w="3360"/>
            <w:tcBorders>
              <w:top w:val="none" w:color="FFFFFF" w:sz="0"/>
              <w:left w:val="none" w:color="FFFFFF" w:sz="0"/>
              <w:bottom w:val="none" w:color="FFFFFF" w:sz="0"/>
              <w:right w:val="none" w:color="FFFFFF" w:sz="0"/>
            </w:tcBorders>
          </w:tcPr>
          <w:p>
            <w:r>
              <w:t xml:space="preserve"/>
            </w:r>
          </w:p>
        </w:tc>
      </w:tr>
    </w:tbl>
    <w:p>
      <w:pPr>
        <w:spacing w:after="100" w:before="100"/>
        <w:jc w:val="center"/>
      </w:pPr>
      <w:r>
        <w:rPr>
          <w:rFonts w:ascii="Arial" w:cs="Arial" w:eastAsia="Arial" w:hAnsi="Arial"/>
          <w:b/>
          <w:bCs/>
          <w:color w:val="1A5D2C"/>
          <w:sz w:val="32"/>
          <w:szCs w:val="3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7DE" w:sz="4"/>
              <w:left w:val="single" w:color="D0D7DE" w:sz="4"/>
              <w:bottom w:val="single" w:color="D0D7DE" w:sz="4"/>
              <w:right w:val="single" w:color="D0D7DE" w:sz="4"/>
            </w:tcBorders>
            <w:shd w:fill="2F8F5B"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2"/>
                <w:szCs w:val="22"/>
              </w:rPr>
              <w:t xml:space="preserve">BUSINESS</w:t>
            </w:r>
          </w:p>
        </w:tc>
        <w:tc>
          <w:tcPr>
            <w:tcW w:type="dxa" w:w="3360"/>
            <w:tcBorders>
              <w:top w:val="single" w:color="D0D7DE" w:sz="4"/>
              <w:left w:val="single" w:color="D0D7DE" w:sz="4"/>
              <w:bottom w:val="single" w:color="D0D7DE" w:sz="4"/>
              <w:right w:val="single" w:color="D0D7DE" w:sz="4"/>
            </w:tcBorders>
            <w:shd w:fill="5B6B7D"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2"/>
                <w:szCs w:val="22"/>
              </w:rPr>
              <w:t xml:space="preserve">BRIDGE</w:t>
            </w:r>
          </w:p>
        </w:tc>
        <w:tc>
          <w:tcPr>
            <w:tcW w:type="dxa" w:w="3360"/>
            <w:tcBorders>
              <w:top w:val="single" w:color="D0D7DE" w:sz="4"/>
              <w:left w:val="single" w:color="D0D7DE" w:sz="4"/>
              <w:bottom w:val="single" w:color="D0D7DE" w:sz="4"/>
              <w:right w:val="single" w:color="D0D7DE" w:sz="4"/>
            </w:tcBorders>
            <w:shd w:fill="2E5C8A" w:val="clear"/>
            <w:tcMar>
              <w:top w:type="dxa" w:w="100"/>
              <w:left w:type="dxa" w:w="100"/>
              <w:bottom w:type="dxa" w:w="100"/>
              <w:right w:type="dxa" w:w="100"/>
            </w:tcMar>
            <w:vAlign w:val="center"/>
          </w:tcPr>
          <w:p>
            <w:pPr>
              <w:spacing w:after="0" w:before="0"/>
              <w:jc w:val="center"/>
            </w:pPr>
            <w:r>
              <w:rPr>
                <w:rFonts w:ascii="Arial" w:cs="Arial" w:eastAsia="Arial" w:hAnsi="Arial"/>
                <w:b/>
                <w:bCs/>
                <w:color w:val="FFFFFF"/>
                <w:sz w:val="22"/>
                <w:szCs w:val="22"/>
              </w:rPr>
              <w:t xml:space="preserve">APPLICATION</w:t>
            </w:r>
          </w:p>
        </w:tc>
      </w:tr>
      <w:tr>
        <w:tc>
          <w:tcPr>
            <w:tcW w:type="dxa" w:w="3360"/>
            <w:tcBorders>
              <w:top w:val="single" w:color="D0D7DE" w:sz="4"/>
              <w:left w:val="single" w:color="D0D7DE" w:sz="4"/>
              <w:bottom w:val="single" w:color="D0D7DE" w:sz="4"/>
              <w:right w:val="single" w:color="D0D7DE" w:sz="4"/>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i/>
                <w:iCs/>
                <w:color w:val="5B6B7D"/>
                <w:sz w:val="18"/>
                <w:szCs w:val="18"/>
              </w:rPr>
              <w:t xml:space="preserve">use case owner / consumer</w:t>
            </w:r>
          </w:p>
        </w:tc>
        <w:tc>
          <w:tcPr>
            <w:tcW w:type="dxa" w:w="3360"/>
            <w:tcBorders>
              <w:top w:val="single" w:color="D0D7DE" w:sz="4"/>
              <w:left w:val="single" w:color="D0D7DE" w:sz="4"/>
              <w:bottom w:val="single" w:color="D0D7DE" w:sz="4"/>
              <w:right w:val="single" w:color="D0D7DE" w:sz="4"/>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i/>
                <w:iCs/>
                <w:color w:val="5B6B7D"/>
                <w:sz w:val="18"/>
                <w:szCs w:val="18"/>
              </w:rPr>
              <w:t xml:space="preserve">what the business sees</w:t>
            </w:r>
          </w:p>
        </w:tc>
        <w:tc>
          <w:tcPr>
            <w:tcW w:type="dxa" w:w="3360"/>
            <w:tcBorders>
              <w:top w:val="single" w:color="D0D7DE" w:sz="4"/>
              <w:left w:val="single" w:color="D0D7DE" w:sz="4"/>
              <w:bottom w:val="single" w:color="D0D7DE" w:sz="4"/>
              <w:right w:val="single" w:color="D0D7DE" w:sz="4"/>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i/>
                <w:iCs/>
                <w:color w:val="5B6B7D"/>
                <w:sz w:val="18"/>
                <w:szCs w:val="18"/>
              </w:rPr>
              <w:t xml:space="preserve">application / data team</w:t>
            </w:r>
          </w:p>
        </w:tc>
      </w:tr>
      <w:tr>
        <w:tc>
          <w:tcPr>
            <w:tcW w:type="dxa" w:w="3360"/>
            <w:tcBorders>
              <w:top w:val="single" w:color="2F8F5B" w:sz="8"/>
              <w:left w:val="single" w:color="2F8F5B" w:sz="8"/>
              <w:bottom w:val="single" w:color="2F8F5B" w:sz="8"/>
              <w:right w:val="single" w:color="2F8F5B" w:sz="8"/>
            </w:tcBorders>
            <w:shd w:fill="F4FBF7" w:val="clear"/>
            <w:tcMar>
              <w:top w:type="dxa" w:w="120"/>
              <w:left w:type="dxa" w:w="120"/>
              <w:bottom w:type="dxa" w:w="120"/>
              <w:right w:type="dxa" w:w="120"/>
            </w:tcMar>
            <w:vAlign w:val="center"/>
          </w:tcPr>
          <w:p>
            <w:pPr>
              <w:spacing w:after="0" w:before="0"/>
              <w:jc w:val="center"/>
            </w:pPr>
            <w:r>
              <w:rPr>
                <w:rFonts w:ascii="Arial" w:cs="Arial" w:eastAsia="Arial" w:hAnsi="Arial"/>
                <w:b/>
                <w:bCs/>
                <w:color w:val="1A5D2C"/>
                <w:sz w:val="20"/>
                <w:szCs w:val="20"/>
              </w:rPr>
              <w:t>1.1  Discovery</w:t>
            </w:r>
          </w:p>
        </w:tc>
        <w:tc>
          <w:tcPr>
            <w:tcW w:type="dxa" w:w="3360"/>
            <w:vMerge w:val="restart"/>
            <w:tcBorders>
              <w:top w:val="single" w:color="5B6B7D" w:sz="8"/>
              <w:left w:val="single" w:color="5B6B7D" w:sz="8"/>
              <w:bottom w:val="single" w:color="5B6B7D" w:sz="8"/>
              <w:right w:val="single" w:color="5B6B7D" w:sz="8"/>
            </w:tcBorders>
            <w:shd w:fill="FAFBFC" w:val="clear"/>
            <w:tcMar>
              <w:top w:type="dxa" w:w="120"/>
              <w:left w:type="dxa" w:w="120"/>
              <w:bottom w:type="dxa" w:w="120"/>
              <w:right w:type="dxa" w:w="120"/>
            </w:tcMar>
            <w:vAlign w:val="center"/>
          </w:tcPr>
          <w:p>
            <w:pPr>
              <w:spacing w:after="60" w:before="0"/>
              <w:jc w:val="center"/>
            </w:pPr>
            <w:r>
              <w:rPr>
                <w:rFonts w:ascii="Arial" w:cs="Arial" w:eastAsia="Arial" w:hAnsi="Arial"/>
                <w:b/>
                <w:bCs/>
                <w:color w:val="1E2A38"/>
                <w:sz w:val="20"/>
                <w:szCs w:val="20"/>
              </w:rPr>
              <w:t xml:space="preserve">The analytical lens</w:t>
            </w:r>
          </w:p>
          <w:p>
            <w:pPr>
              <w:spacing w:after="30" w:before="30"/>
              <w:jc w:val="center"/>
            </w:pPr>
            <w:r>
              <w:rPr>
                <w:rFonts w:ascii="Arial" w:cs="Arial" w:eastAsia="Arial" w:hAnsi="Arial"/>
                <w:i/>
                <w:iCs/>
                <w:color w:val="5B6B7D"/>
                <w:sz w:val="18"/>
                <w:szCs w:val="18"/>
              </w:rPr>
              <w:t xml:space="preserve">where the business consumes</w:t>
            </w:r>
          </w:p>
          <w:p>
            <w:pPr>
              <w:spacing w:after="30" w:before="30"/>
              <w:jc w:val="center"/>
            </w:pPr>
            <w:r>
              <w:rPr>
                <w:rFonts w:ascii="Arial" w:cs="Arial" w:eastAsia="Arial" w:hAnsi="Arial"/>
                <w:i/>
                <w:iCs/>
                <w:color w:val="5B6B7D"/>
                <w:sz w:val="18"/>
                <w:szCs w:val="18"/>
              </w:rPr>
              <w:t xml:space="preserve">from finished, conformed,</w:t>
            </w:r>
          </w:p>
          <w:p>
            <w:pPr>
              <w:spacing w:after="0" w:before="30"/>
              <w:jc w:val="center"/>
            </w:pPr>
            <w:r>
              <w:rPr>
                <w:rFonts w:ascii="Arial" w:cs="Arial" w:eastAsia="Arial" w:hAnsi="Arial"/>
                <w:i/>
                <w:iCs/>
                <w:color w:val="5B6B7D"/>
                <w:sz w:val="18"/>
                <w:szCs w:val="18"/>
              </w:rPr>
              <w:t xml:space="preserve">contracted data products</w:t>
            </w:r>
          </w:p>
        </w:tc>
        <w:tc>
          <w:tcPr>
            <w:tcW w:type="dxa" w:w="3360"/>
            <w:tcBorders>
              <w:top w:val="single" w:color="2E5C8A" w:sz="8"/>
              <w:left w:val="single" w:color="2E5C8A" w:sz="8"/>
              <w:bottom w:val="single" w:color="2E5C8A" w:sz="8"/>
              <w:right w:val="single" w:color="2E5C8A" w:sz="8"/>
            </w:tcBorders>
            <w:shd w:fill="EBF2FA" w:val="clear"/>
            <w:tcMar>
              <w:top w:type="dxa" w:w="120"/>
              <w:left w:type="dxa" w:w="120"/>
              <w:bottom w:type="dxa" w:w="120"/>
              <w:right w:type="dxa" w:w="120"/>
            </w:tcMar>
            <w:vAlign w:val="center"/>
          </w:tcPr>
          <w:p>
            <w:pPr>
              <w:spacing w:after="0" w:before="0"/>
              <w:jc w:val="center"/>
            </w:pPr>
            <w:r>
              <w:rPr>
                <w:rFonts w:ascii="Arial" w:cs="Arial" w:eastAsia="Arial" w:hAnsi="Arial"/>
                <w:b/>
                <w:bCs/>
                <w:color w:val="2E5C8A"/>
                <w:sz w:val="20"/>
                <w:szCs w:val="20"/>
              </w:rPr>
              <w:t>2.1  Elevate existing data</w:t>
            </w:r>
          </w:p>
        </w:tc>
      </w:tr>
      <w:tr>
        <w:tc>
          <w:tcPr>
            <w:tcW w:type="dxa" w:w="3360"/>
            <w:tcBorders>
              <w:top w:val="single" w:color="2F8F5B" w:sz="8"/>
              <w:left w:val="single" w:color="2F8F5B" w:sz="8"/>
              <w:bottom w:val="single" w:color="2F8F5B" w:sz="8"/>
              <w:right w:val="single" w:color="2F8F5B" w:sz="8"/>
            </w:tcBorders>
            <w:shd w:fill="F4FBF7" w:val="clear"/>
            <w:tcMar>
              <w:top w:type="dxa" w:w="120"/>
              <w:left w:type="dxa" w:w="120"/>
              <w:bottom w:type="dxa" w:w="120"/>
              <w:right w:type="dxa" w:w="120"/>
            </w:tcMar>
            <w:vAlign w:val="center"/>
          </w:tcPr>
          <w:p>
            <w:pPr>
              <w:spacing w:after="0" w:before="0"/>
              <w:jc w:val="center"/>
            </w:pPr>
            <w:r>
              <w:rPr>
                <w:rFonts w:ascii="Arial" w:cs="Arial" w:eastAsia="Arial" w:hAnsi="Arial"/>
                <w:b/>
                <w:bCs/>
                <w:color w:val="1A5D2C"/>
                <w:sz w:val="20"/>
                <w:szCs w:val="20"/>
              </w:rPr>
              <w:t>1.2  Defined use case</w:t>
            </w:r>
          </w:p>
        </w:tc>
        <w:tc>
          <w:tcPr>
            <w:vMerge w:val="continue"/>
            <w:tcBorders>
              <w:top w:val="single" w:color="5B6B7D" w:sz="8"/>
              <w:left w:val="single" w:color="5B6B7D" w:sz="8"/>
              <w:bottom w:val="single" w:color="5B6B7D" w:sz="8"/>
              <w:right w:val="single" w:color="5B6B7D" w:sz="8"/>
            </w:tcBorders>
          </w:tcPr>
          <w:p/>
        </w:tc>
        <w:tc>
          <w:tcPr>
            <w:tcW w:type="dxa" w:w="3360"/>
            <w:tcBorders>
              <w:top w:val="single" w:color="2E5C8A" w:sz="8"/>
              <w:left w:val="single" w:color="2E5C8A" w:sz="8"/>
              <w:bottom w:val="single" w:color="2E5C8A" w:sz="8"/>
              <w:right w:val="single" w:color="2E5C8A" w:sz="8"/>
            </w:tcBorders>
            <w:shd w:fill="EBF2FA" w:val="clear"/>
            <w:tcMar>
              <w:top w:type="dxa" w:w="120"/>
              <w:left w:type="dxa" w:w="120"/>
              <w:bottom w:type="dxa" w:w="120"/>
              <w:right w:type="dxa" w:w="120"/>
            </w:tcMar>
            <w:vAlign w:val="center"/>
          </w:tcPr>
          <w:p>
            <w:pPr>
              <w:spacing w:after="0" w:before="0"/>
              <w:jc w:val="center"/>
            </w:pPr>
            <w:r>
              <w:rPr>
                <w:rFonts w:ascii="Arial" w:cs="Arial" w:eastAsia="Arial" w:hAnsi="Arial"/>
                <w:b/>
                <w:bCs/>
                <w:color w:val="2E5C8A"/>
                <w:sz w:val="20"/>
                <w:szCs w:val="20"/>
              </w:rPr>
              <w:t>2.2  Migrate processing</w:t>
            </w:r>
          </w:p>
        </w:tc>
      </w:tr>
      <w:t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r>
              <w:t xml:space="preserve"/>
            </w:r>
          </w:p>
        </w:tc>
        <w:tc>
          <w:tcPr>
            <w:vMerge w:val="continue"/>
            <w:tcBorders>
              <w:top w:val="single" w:color="5B6B7D" w:sz="8"/>
              <w:left w:val="single" w:color="5B6B7D" w:sz="8"/>
              <w:bottom w:val="single" w:color="5B6B7D" w:sz="8"/>
              <w:right w:val="single" w:color="5B6B7D" w:sz="8"/>
            </w:tcBorders>
          </w:tcPr>
          <w:p/>
        </w:tc>
        <w:tc>
          <w:tcPr>
            <w:tcW w:type="dxa" w:w="3360"/>
            <w:tcBorders>
              <w:top w:val="single" w:color="2E5C8A" w:sz="8"/>
              <w:left w:val="single" w:color="2E5C8A" w:sz="8"/>
              <w:bottom w:val="single" w:color="2E5C8A" w:sz="8"/>
              <w:right w:val="single" w:color="2E5C8A" w:sz="8"/>
            </w:tcBorders>
            <w:shd w:fill="EBF2FA" w:val="clear"/>
            <w:tcMar>
              <w:top w:type="dxa" w:w="120"/>
              <w:left w:type="dxa" w:w="120"/>
              <w:bottom w:type="dxa" w:w="120"/>
              <w:right w:type="dxa" w:w="120"/>
            </w:tcMar>
            <w:vAlign w:val="center"/>
          </w:tcPr>
          <w:p>
            <w:pPr>
              <w:spacing w:after="0" w:before="0"/>
              <w:jc w:val="center"/>
            </w:pPr>
            <w:r>
              <w:rPr>
                <w:rFonts w:ascii="Arial" w:cs="Arial" w:eastAsia="Arial" w:hAnsi="Arial"/>
                <w:b/>
                <w:bCs/>
                <w:color w:val="2E5C8A"/>
                <w:sz w:val="20"/>
                <w:szCs w:val="20"/>
              </w:rPr>
              <w:t>2.3  Build new application</w:t>
            </w:r>
          </w:p>
        </w:tc>
      </w:tr>
    </w:tbl>
    <w:p>
      <w:pPr>
        <w:spacing w:after="100" w:before="100"/>
        <w:jc w:val="center"/>
      </w:pPr>
      <w:r>
        <w:rPr>
          <w:rFonts w:ascii="Arial" w:cs="Arial" w:eastAsia="Arial" w:hAnsi="Arial"/>
          <w:b/>
          <w:bCs/>
          <w:color w:val="1A5D2C"/>
          <w:sz w:val="32"/>
          <w:szCs w:val="3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6720"/>
        <w:gridCol w:w="1680"/>
      </w:tblGrid>
      <w:tr>
        <w:tc>
          <w:tcPr>
            <w:tcW w:type="dxa" w:w="1680"/>
            <w:tcBorders>
              <w:top w:val="none" w:color="FFFFFF" w:sz="0"/>
              <w:left w:val="none" w:color="FFFFFF" w:sz="0"/>
              <w:bottom w:val="none" w:color="FFFFFF" w:sz="0"/>
              <w:right w:val="none" w:color="FFFFFF" w:sz="0"/>
            </w:tcBorders>
          </w:tcPr>
          <w:p>
            <w:r>
              <w:t xml:space="preserve"/>
            </w:r>
          </w:p>
        </w:tc>
        <w:tc>
          <w:tcPr>
            <w:tcW w:type="dxa" w:w="6720"/>
            <w:tcBorders>
              <w:top w:val="single" w:color="1A5D2C" w:sz="16"/>
              <w:left w:val="single" w:color="1A5D2C" w:sz="16"/>
              <w:bottom w:val="single" w:color="1A5D2C" w:sz="16"/>
              <w:right w:val="single" w:color="1A5D2C" w:sz="16"/>
            </w:tcBorders>
            <w:shd w:fill="F4FBF7" w:val="clear"/>
            <w:tcMar>
              <w:top w:type="dxa" w:w="160"/>
              <w:left w:type="dxa" w:w="200"/>
              <w:bottom w:type="dxa" w:w="160"/>
              <w:right w:type="dxa" w:w="200"/>
            </w:tcMar>
            <w:vAlign w:val="center"/>
          </w:tcPr>
          <w:p>
            <w:pPr>
              <w:spacing w:after="80" w:before="0"/>
              <w:jc w:val="center"/>
            </w:pPr>
            <w:r>
              <w:rPr>
                <w:rFonts w:ascii="Arial" w:cs="Arial" w:eastAsia="Arial" w:hAnsi="Arial"/>
                <w:b/>
                <w:bCs/>
                <w:color w:val="1A5D2C"/>
                <w:sz w:val="26"/>
                <w:szCs w:val="26"/>
              </w:rPr>
              <w:t xml:space="preserve">Common downstream activity</w:t>
            </w:r>
          </w:p>
          <w:p>
            <w:pPr>
              <w:spacing w:after="0" w:before="0"/>
              <w:jc w:val="center"/>
            </w:pPr>
            <w:r>
              <w:rPr>
                <w:rFonts w:ascii="Arial" w:cs="Arial" w:eastAsia="Arial" w:hAnsi="Arial"/>
                <w:i/>
                <w:iCs/>
                <w:color w:val="5B6B7D"/>
                <w:sz w:val="20"/>
                <w:szCs w:val="20"/>
              </w:rPr>
              <w:t xml:space="preserve">same for all application threads — modelling, conformance, canvas, publication</w:t>
            </w:r>
          </w:p>
        </w:tc>
        <w:tc>
          <w:tcPr>
            <w:tcW w:type="dxa" w:w="1680"/>
            <w:tcBorders>
              <w:top w:val="none" w:color="FFFFFF" w:sz="0"/>
              <w:left w:val="none" w:color="FFFFFF" w:sz="0"/>
              <w:bottom w:val="none" w:color="FFFFFF" w:sz="0"/>
              <w:right w:val="none" w:color="FFFFFF" w:sz="0"/>
            </w:tcBorders>
          </w:tcPr>
          <w:p>
            <w:r>
              <w:t xml:space="preserve"/>
            </w:r>
          </w:p>
        </w:tc>
      </w:tr>
    </w:tbl>
    <w:p>
      <w:pPr>
        <w:spacing w:after="100" w:before="100"/>
        <w:jc w:val="center"/>
      </w:pPr>
      <w:r>
        <w:rPr>
          <w:rFonts w:ascii="Arial" w:cs="Arial" w:eastAsia="Arial" w:hAnsi="Arial"/>
          <w:b/>
          <w:bCs/>
          <w:color w:val="1A5D2C"/>
          <w:sz w:val="32"/>
          <w:szCs w:val="3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gridCol w:w="2520"/>
      </w:tblGrid>
      <w:tr>
        <w:tc>
          <w:tcPr>
            <w:tcW w:type="dxa" w:w="2520"/>
            <w:tcBorders>
              <w:top w:val="none" w:color="FFFFFF" w:sz="0"/>
              <w:left w:val="none" w:color="FFFFFF" w:sz="0"/>
              <w:bottom w:val="none" w:color="FFFFFF" w:sz="0"/>
              <w:right w:val="none" w:color="FFFFFF" w:sz="0"/>
            </w:tcBorders>
          </w:tcPr>
          <w:p>
            <w:r>
              <w:t xml:space="preserve"/>
            </w:r>
          </w:p>
        </w:tc>
        <w:tc>
          <w:tcPr>
            <w:tcW w:type="dxa" w:w="5040"/>
            <w:tcBorders>
              <w:top w:val="single" w:color="1A5D2C" w:sz="16"/>
              <w:left w:val="single" w:color="1A5D2C" w:sz="16"/>
              <w:bottom w:val="single" w:color="1A5D2C" w:sz="16"/>
              <w:right w:val="single" w:color="1A5D2C" w:sz="16"/>
            </w:tcBorders>
            <w:shd w:fill="1A5D2C" w:val="clear"/>
            <w:tcMar>
              <w:top w:type="dxa" w:w="160"/>
              <w:left w:type="dxa" w:w="200"/>
              <w:bottom w:type="dxa" w:w="160"/>
              <w:right w:type="dxa" w:w="200"/>
            </w:tcMar>
            <w:vAlign w:val="center"/>
          </w:tcPr>
          <w:p>
            <w:pPr>
              <w:spacing w:after="0" w:before="0"/>
              <w:jc w:val="center"/>
            </w:pPr>
            <w:r>
              <w:rPr>
                <w:rFonts w:ascii="Arial" w:cs="Arial" w:eastAsia="Arial" w:hAnsi="Arial"/>
                <w:b/>
                <w:bCs/>
                <w:color w:val="FFFFFF"/>
                <w:sz w:val="28"/>
                <w:szCs w:val="28"/>
              </w:rPr>
              <w:t xml:space="preserve">risk_warehouse</w:t>
            </w:r>
          </w:p>
        </w:tc>
        <w:tc>
          <w:tcPr>
            <w:tcW w:type="dxa" w:w="2520"/>
            <w:tcBorders>
              <w:top w:val="none" w:color="FFFFFF" w:sz="0"/>
              <w:left w:val="none" w:color="FFFFFF" w:sz="0"/>
              <w:bottom w:val="none" w:color="FFFFFF" w:sz="0"/>
              <w:right w:val="none" w:color="FFFFFF" w:sz="0"/>
            </w:tcBorders>
          </w:tcPr>
          <w:p>
            <w:r>
              <w:t xml:space="preserve"/>
            </w:r>
          </w:p>
        </w:tc>
      </w:tr>
    </w:tbl>
    <w:p>
      <w:pPr>
        <w:spacing w:after="240" w:before="240"/>
        <w:jc w:val="center"/>
      </w:pPr>
      <w:r>
        <w:rPr>
          <w:rFonts w:ascii="Arial" w:cs="Arial" w:eastAsia="Arial" w:hAnsi="Arial"/>
          <w:b w:val="false"/>
          <w:bCs w:val="false"/>
          <w:i/>
          <w:iCs/>
          <w:color w:val="5B6B7D"/>
          <w:sz w:val="20"/>
          <w:szCs w:val="20"/>
        </w:rPr>
        <w:t xml:space="preserve">Anyone arriving fits into one of the three streams. Within each stream, the threads run in parallel. All four application threads converge into the same downstream activity — captured once below.</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F8F5B"/>
          <w:sz w:val="32"/>
          <w:szCs w:val="32"/>
        </w:rPr>
        <w:t xml:space="preserve">Business — what you do</w:t>
      </w:r>
    </w:p>
    <w:p>
      <w:pPr>
        <w:pBdr>
          <w:top w:val="single" w:color="EAF6EE" w:sz="2"/>
          <w:left w:val="single" w:color="1A5D2C" w:sz="24" w:space="8"/>
          <w:bottom w:val="single" w:color="EAF6EE" w:sz="2"/>
          <w:right w:val="single" w:color="EAF6EE" w:sz="2"/>
        </w:pBdr>
        <w:shd w:fill="EAF6EE" w:val="clear"/>
        <w:spacing w:after="200" w:before="200"/>
        <w:ind w:left="200"/>
      </w:pPr>
      <w:r>
        <w:rPr>
          <w:rFonts w:ascii="Arial" w:cs="Arial" w:eastAsia="Arial" w:hAnsi="Arial"/>
          <w:b/>
          <w:bCs/>
          <w:color w:val="1A5D2C"/>
          <w:sz w:val="22"/>
          <w:szCs w:val="22"/>
        </w:rPr>
        <w:t xml:space="preserve">This is normally a conversation. </w:t>
      </w:r>
      <w:r>
        <w:rPr>
          <w:rFonts w:ascii="Arial" w:cs="Arial" w:eastAsia="Arial" w:hAnsi="Arial"/>
          <w:color w:val="1A5D2C"/>
          <w:sz w:val="22"/>
          <w:szCs w:val="22"/>
        </w:rPr>
        <w:t xml:space="preserve">In a mature data practice, a Data Product Owner would walk through these questions with you. We don't have that role yet at TD, so we're asking you to write the answers down. Think of it as a structured conversation, not a form to complete.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4"/>
              <w:left w:val="single" w:color="2F8F5B" w:sz="16"/>
              <w:bottom w:val="single" w:color="D0D7DE" w:sz="4"/>
              <w:right w:val="single" w:color="D0D7DE" w:sz="4"/>
            </w:tcBorders>
            <w:shd w:fill="F4FBF7" w:val="clear"/>
            <w:tcMar>
              <w:top w:type="dxa" w:w="160"/>
              <w:left w:type="dxa" w:w="240"/>
              <w:bottom w:type="dxa" w:w="160"/>
              <w:right w:type="dxa" w:w="200"/>
            </w:tcMar>
          </w:tcPr>
          <w:p>
            <w:pPr>
              <w:spacing w:after="30" w:before="0"/>
            </w:pPr>
            <w:r>
              <w:rPr>
                <w:rFonts w:ascii="Arial" w:cs="Arial" w:eastAsia="Arial" w:hAnsi="Arial"/>
                <w:b/>
                <w:bCs/>
                <w:color w:val="2F8F5B"/>
                <w:sz w:val="22"/>
                <w:szCs w:val="22"/>
              </w:rPr>
              <w:t xml:space="preserve">1.1  Discovery</w:t>
            </w:r>
          </w:p>
          <w:p>
            <w:pPr>
              <w:spacing w:after="30" w:before="30"/>
            </w:pPr>
            <w:r>
              <w:rPr>
                <w:rFonts w:ascii="Arial" w:cs="Arial" w:eastAsia="Arial" w:hAnsi="Arial"/>
                <w:i/>
                <w:iCs/>
                <w:color w:val="5B6B7D"/>
                <w:sz w:val="20"/>
                <w:szCs w:val="20"/>
              </w:rPr>
              <w:t xml:space="preserve">"I'm exploring. I don't yet know what I want."</w:t>
            </w:r>
          </w:p>
          <w:p>
            <w:pPr>
              <w:spacing w:after="30" w:before="30"/>
            </w:pPr>
            <w:r>
              <w:rPr>
                <w:rFonts w:ascii="Arial" w:cs="Arial" w:eastAsia="Arial" w:hAnsi="Arial"/>
                <w:color w:val="1E2A38"/>
                <w:sz w:val="20"/>
                <w:szCs w:val="20"/>
              </w:rPr>
              <w:t xml:space="preserve">You need access to the analytics environment, access to the BI tool, and access to whatever data is available for exploration. Optionally, a light intake helps the data team support you better — it scopes what you're looking for.</w:t>
            </w:r>
          </w:p>
          <w:p>
            <w:pPr>
              <w:pBdr>
                <w:top w:val="dashed" w:color="B9772A" w:sz="4"/>
                <w:left w:val="dashed" w:color="B9772A" w:sz="4"/>
                <w:bottom w:val="dashed" w:color="B9772A" w:sz="4"/>
                <w:right w:val="dashed" w:color="B9772A" w:sz="4"/>
              </w:pBdr>
              <w:shd w:fill="FDF5E0" w:val="clear"/>
              <w:spacing w:after="60" w:before="60"/>
              <w:ind w:left="200"/>
            </w:pPr>
            <w:r>
              <w:rPr>
                <w:rFonts w:ascii="Arial" w:cs="Arial" w:eastAsia="Arial" w:hAnsi="Arial"/>
                <w:i/>
                <w:iCs/>
                <w:color w:val="B9772A"/>
                <w:sz w:val="18"/>
                <w:szCs w:val="18"/>
              </w:rPr>
              <w:t xml:space="preserve">[PLACEHOLDER — Light intake for discovery (to draft)]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4"/>
              <w:left w:val="single" w:color="2F8F5B" w:sz="16"/>
              <w:bottom w:val="single" w:color="D0D7DE" w:sz="4"/>
              <w:right w:val="single" w:color="D0D7DE" w:sz="4"/>
            </w:tcBorders>
            <w:shd w:fill="F4FBF7" w:val="clear"/>
            <w:tcMar>
              <w:top w:type="dxa" w:w="160"/>
              <w:left w:type="dxa" w:w="240"/>
              <w:bottom w:type="dxa" w:w="160"/>
              <w:right w:type="dxa" w:w="200"/>
            </w:tcMar>
          </w:tcPr>
          <w:p>
            <w:pPr>
              <w:spacing w:after="30" w:before="0"/>
            </w:pPr>
            <w:r>
              <w:rPr>
                <w:rFonts w:ascii="Arial" w:cs="Arial" w:eastAsia="Arial" w:hAnsi="Arial"/>
                <w:b/>
                <w:bCs/>
                <w:color w:val="2F8F5B"/>
                <w:sz w:val="22"/>
                <w:szCs w:val="22"/>
              </w:rPr>
              <w:t xml:space="preserve">1.2  Defined use case</w:t>
            </w:r>
          </w:p>
          <w:p>
            <w:pPr>
              <w:spacing w:after="30" w:before="30"/>
            </w:pPr>
            <w:r>
              <w:rPr>
                <w:rFonts w:ascii="Arial" w:cs="Arial" w:eastAsia="Arial" w:hAnsi="Arial"/>
                <w:i/>
                <w:iCs/>
                <w:color w:val="5B6B7D"/>
                <w:sz w:val="20"/>
                <w:szCs w:val="20"/>
              </w:rPr>
              <w:t xml:space="preserve">"I know what I need (e.g. exposure by counterparty)."</w:t>
            </w:r>
          </w:p>
          <w:p>
            <w:pPr>
              <w:spacing w:after="30" w:before="30"/>
            </w:pPr>
            <w:r>
              <w:rPr>
                <w:rFonts w:ascii="Arial" w:cs="Arial" w:eastAsia="Arial" w:hAnsi="Arial"/>
                <w:color w:val="1E2A38"/>
                <w:sz w:val="20"/>
                <w:szCs w:val="20"/>
              </w:rPr>
              <w:t xml:space="preserve">You file the full Business Intake. The data team translates it into entities, measures, and a published data product. You get access to the analytics environment and the BI tool.</w:t>
            </w:r>
          </w:p>
          <w:p>
            <w:pPr>
              <w:pBdr>
                <w:top w:val="dashed" w:color="B9772A" w:sz="4"/>
                <w:left w:val="dashed" w:color="B9772A" w:sz="4"/>
                <w:bottom w:val="dashed" w:color="B9772A" w:sz="4"/>
                <w:right w:val="dashed" w:color="B9772A" w:sz="4"/>
              </w:pBdr>
              <w:shd w:fill="FDF5E0" w:val="clear"/>
              <w:spacing w:after="60" w:before="60"/>
              <w:ind w:left="200"/>
            </w:pPr>
            <w:r>
              <w:rPr>
                <w:rFonts w:ascii="Arial" w:cs="Arial" w:eastAsia="Arial" w:hAnsi="Arial"/>
                <w:i/>
                <w:iCs/>
                <w:color w:val="B9772A"/>
                <w:sz w:val="18"/>
                <w:szCs w:val="18"/>
              </w:rPr>
              <w:t xml:space="preserve">[PLACEHOLDER — Business Intake template (Excel)]</w:t>
            </w:r>
          </w:p>
          <w:p>
            <w:pPr>
              <w:pBdr>
                <w:top w:val="dashed" w:color="B9772A" w:sz="4"/>
                <w:left w:val="dashed" w:color="B9772A" w:sz="4"/>
                <w:bottom w:val="dashed" w:color="B9772A" w:sz="4"/>
                <w:right w:val="dashed" w:color="B9772A" w:sz="4"/>
              </w:pBdr>
              <w:shd w:fill="FDF5E0" w:val="clear"/>
              <w:spacing w:after="60" w:before="60"/>
              <w:ind w:left="200"/>
            </w:pPr>
            <w:r>
              <w:rPr>
                <w:rFonts w:ascii="Arial" w:cs="Arial" w:eastAsia="Arial" w:hAnsi="Arial"/>
                <w:i/>
                <w:iCs/>
                <w:color w:val="B9772A"/>
                <w:sz w:val="18"/>
                <w:szCs w:val="18"/>
              </w:rPr>
              <w:t xml:space="preserve">[PLACEHOLDER — Worked example (Exposure by Counterparty)]</w:t>
            </w:r>
          </w:p>
        </w:tc>
      </w:tr>
    </w:tbl>
    <w:p>
      <w:pPr>
        <w:spacing w:after="120" w:before="280"/>
      </w:pPr>
      <w:r>
        <w:rPr>
          <w:rFonts w:ascii="Arial" w:cs="Arial" w:eastAsia="Arial" w:hAnsi="Arial"/>
          <w:b/>
          <w:bCs/>
          <w:color w:val="2F8F5B"/>
          <w:sz w:val="26"/>
          <w:szCs w:val="26"/>
        </w:rPr>
        <w:t xml:space="preserve">Access</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Analytics environment access link]</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BI tool access link]</w:t>
      </w:r>
    </w:p>
    <w:p>
      <w:pPr>
        <w:spacing w:after="120" w:before="280"/>
      </w:pPr>
      <w:r>
        <w:rPr>
          <w:rFonts w:ascii="Arial" w:cs="Arial" w:eastAsia="Arial" w:hAnsi="Arial"/>
          <w:b/>
          <w:bCs/>
          <w:color w:val="2F8F5B"/>
          <w:sz w:val="26"/>
          <w:szCs w:val="26"/>
        </w:rPr>
        <w:t xml:space="preserve">What happens after you submit a defined use case (1.2)</w:t>
      </w:r>
    </w:p>
    <w:p>
      <w:pPr>
        <w:spacing w:after="80" w:before="80"/>
        <w:jc w:val="left"/>
      </w:pPr>
      <w:r>
        <w:rPr>
          <w:rFonts w:ascii="Arial" w:cs="Arial" w:eastAsia="Arial" w:hAnsi="Arial"/>
          <w:b w:val="false"/>
          <w:bCs w:val="false"/>
          <w:i w:val="false"/>
          <w:iCs w:val="false"/>
          <w:color w:val="1E2A38"/>
          <w:sz w:val="22"/>
          <w:szCs w:val="22"/>
        </w:rPr>
        <w:t xml:space="preserve">The intake goes to the data team and the relevant application teams. Entities you name become CDM entries. Measures you describe inform the dimensional model. Reports you currently use inform what the published data product needs to support. Your request gets priority — it focuses what gets built next.</w:t>
      </w:r>
    </w:p>
    <w:p>
      <w:pPr>
        <w:spacing w:after="160" w:before="160"/>
        <w:jc w:val="left"/>
      </w:pPr>
      <w:r>
        <w:rPr>
          <w:rFonts w:ascii="Arial" w:cs="Arial" w:eastAsia="Arial" w:hAnsi="Arial"/>
          <w:b w:val="false"/>
          <w:bCs w:val="false"/>
          <w:i/>
          <w:iCs/>
          <w:color w:val="5B6B7D"/>
          <w:sz w:val="20"/>
          <w:szCs w:val="20"/>
        </w:rPr>
        <w:t xml:space="preserve">Discovery (1.1) may turn into a defined use case (1.2). A defined use case may spawn further discovery as it unfolds. The two paths can run together for the same team.</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2E5C8A"/>
          <w:sz w:val="32"/>
          <w:szCs w:val="32"/>
        </w:rPr>
        <w:t xml:space="preserve">Application — what you do</w:t>
      </w:r>
    </w:p>
    <w:p>
      <w:pPr>
        <w:spacing w:after="80" w:before="80"/>
        <w:jc w:val="left"/>
      </w:pPr>
      <w:r>
        <w:rPr>
          <w:rFonts w:ascii="Arial" w:cs="Arial" w:eastAsia="Arial" w:hAnsi="Arial"/>
          <w:b w:val="false"/>
          <w:bCs w:val="false"/>
          <w:i w:val="false"/>
          <w:iCs w:val="false"/>
          <w:color w:val="1E2A38"/>
          <w:sz w:val="22"/>
          <w:szCs w:val="22"/>
        </w:rPr>
        <w:t xml:space="preserve">Three entry points. The differences are at the front end. The downstream activity — modelling, conformance, canvas, publication — is the same across all three, captured once in the common section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4"/>
              <w:left w:val="single" w:color="2E5C8A" w:sz="16"/>
              <w:bottom w:val="single" w:color="D0D7DE" w:sz="4"/>
              <w:right w:val="single" w:color="D0D7DE" w:sz="4"/>
            </w:tcBorders>
            <w:shd w:fill="EBF2FA" w:val="clear"/>
            <w:tcMar>
              <w:top w:type="dxa" w:w="140"/>
              <w:left w:type="dxa" w:w="240"/>
              <w:bottom w:type="dxa" w:w="140"/>
              <w:right w:type="dxa" w:w="200"/>
            </w:tcMar>
          </w:tcPr>
          <w:p>
            <w:pPr>
              <w:spacing w:after="30" w:before="0"/>
            </w:pPr>
            <w:r>
              <w:rPr>
                <w:rFonts w:ascii="Arial" w:cs="Arial" w:eastAsia="Arial" w:hAnsi="Arial"/>
                <w:b/>
                <w:bCs/>
                <w:color w:val="2E5C8A"/>
                <w:sz w:val="22"/>
                <w:szCs w:val="22"/>
              </w:rPr>
              <w:t xml:space="preserve">2.1  Elevate existing data + supporting entities</w:t>
            </w:r>
          </w:p>
          <w:p>
            <w:pPr>
              <w:spacing w:after="0" w:before="30"/>
            </w:pPr>
            <w:r>
              <w:rPr>
                <w:rFonts w:ascii="Arial" w:cs="Arial" w:eastAsia="Arial" w:hAnsi="Arial"/>
                <w:i/>
                <w:iCs/>
                <w:color w:val="5B6B7D"/>
                <w:sz w:val="20"/>
                <w:szCs w:val="20"/>
              </w:rPr>
              <w:t xml:space="preserve">"My data is already being generated. I elevate it to a data product — and the entities that support it (counterparty, agreement, position, etc.) get identified, conformed, and contributed to the CDM."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4"/>
              <w:left w:val="single" w:color="2E5C8A" w:sz="16"/>
              <w:bottom w:val="single" w:color="D0D7DE" w:sz="4"/>
              <w:right w:val="single" w:color="D0D7DE" w:sz="4"/>
            </w:tcBorders>
            <w:shd w:fill="EBF2FA" w:val="clear"/>
            <w:tcMar>
              <w:top w:type="dxa" w:w="140"/>
              <w:left w:type="dxa" w:w="240"/>
              <w:bottom w:type="dxa" w:w="140"/>
              <w:right w:type="dxa" w:w="200"/>
            </w:tcMar>
          </w:tcPr>
          <w:p>
            <w:pPr>
              <w:spacing w:after="30" w:before="0"/>
            </w:pPr>
            <w:r>
              <w:rPr>
                <w:rFonts w:ascii="Arial" w:cs="Arial" w:eastAsia="Arial" w:hAnsi="Arial"/>
                <w:b/>
                <w:bCs/>
                <w:color w:val="2E5C8A"/>
                <w:sz w:val="22"/>
                <w:szCs w:val="22"/>
              </w:rPr>
              <w:t xml:space="preserve">2.2  Migrate existing application processing into Databricks</w:t>
            </w:r>
          </w:p>
          <w:p>
            <w:pPr>
              <w:spacing w:after="0" w:before="30"/>
            </w:pPr>
            <w:r>
              <w:rPr>
                <w:rFonts w:ascii="Arial" w:cs="Arial" w:eastAsia="Arial" w:hAnsi="Arial"/>
                <w:i/>
                <w:iCs/>
                <w:color w:val="5B6B7D"/>
                <w:sz w:val="20"/>
                <w:szCs w:val="20"/>
              </w:rPr>
              <w:t xml:space="preserve">"I'm moving my application's batch processing into the platform. Lineage is captured from day one as part of the migration."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4"/>
              <w:left w:val="single" w:color="2E5C8A" w:sz="16"/>
              <w:bottom w:val="single" w:color="D0D7DE" w:sz="4"/>
              <w:right w:val="single" w:color="D0D7DE" w:sz="4"/>
            </w:tcBorders>
            <w:shd w:fill="EBF2FA" w:val="clear"/>
            <w:tcMar>
              <w:top w:type="dxa" w:w="140"/>
              <w:left w:type="dxa" w:w="240"/>
              <w:bottom w:type="dxa" w:w="140"/>
              <w:right w:type="dxa" w:w="200"/>
            </w:tcMar>
          </w:tcPr>
          <w:p>
            <w:pPr>
              <w:spacing w:after="30" w:before="0"/>
            </w:pPr>
            <w:r>
              <w:rPr>
                <w:rFonts w:ascii="Arial" w:cs="Arial" w:eastAsia="Arial" w:hAnsi="Arial"/>
                <w:b/>
                <w:bCs/>
                <w:color w:val="2E5C8A"/>
                <w:sz w:val="22"/>
                <w:szCs w:val="22"/>
              </w:rPr>
              <w:t xml:space="preserve">2.3  Build a new application on the platform</w:t>
            </w:r>
          </w:p>
          <w:p>
            <w:pPr>
              <w:spacing w:after="0" w:before="30"/>
            </w:pPr>
            <w:r>
              <w:rPr>
                <w:rFonts w:ascii="Arial" w:cs="Arial" w:eastAsia="Arial" w:hAnsi="Arial"/>
                <w:i/>
                <w:iCs/>
                <w:color w:val="5B6B7D"/>
                <w:sz w:val="20"/>
                <w:szCs w:val="20"/>
              </w:rPr>
              <w:t xml:space="preserve">"I'm building a new application directly in Databricks. Same modelling and conformance work; lineage captured natively."</w:t>
            </w:r>
          </w:p>
        </w:tc>
      </w:tr>
    </w:tbl>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1A5D2C"/>
          <w:sz w:val="32"/>
          <w:szCs w:val="32"/>
        </w:rPr>
        <w:t xml:space="preserve">Common downstream activity</w:t>
      </w:r>
    </w:p>
    <w:p>
      <w:pPr>
        <w:spacing w:after="160" w:before="60"/>
        <w:jc w:val="left"/>
      </w:pPr>
      <w:r>
        <w:rPr>
          <w:rFonts w:ascii="Arial" w:cs="Arial" w:eastAsia="Arial" w:hAnsi="Arial"/>
          <w:b w:val="false"/>
          <w:bCs w:val="false"/>
          <w:i/>
          <w:iCs/>
          <w:color w:val="5B6B7D"/>
          <w:sz w:val="22"/>
          <w:szCs w:val="22"/>
        </w:rPr>
        <w:t xml:space="preserve">The same eight steps follow whatever brought the data into the application space.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7DE" w:sz="4"/>
              <w:left w:val="single" w:color="1A5D2C" w:sz="16"/>
              <w:bottom w:val="single" w:color="D0D7DE" w:sz="4"/>
              <w:right w:val="single" w:color="D0D7DE" w:sz="4"/>
            </w:tcBorders>
            <w:shd w:fill="F4FBF7" w:val="clear"/>
            <w:tcMar>
              <w:top w:type="dxa" w:w="200"/>
              <w:left w:type="dxa" w:w="240"/>
              <w:bottom w:type="dxa" w:w="200"/>
              <w:right w:type="dxa" w:w="240"/>
            </w:tcMar>
          </w:tcPr>
          <w:p>
            <w:pPr>
              <w:pStyle w:val="ListParagraph"/>
              <w:numPr>
                <w:ilvl w:val="0"/>
                <w:numId w:val="2"/>
              </w:numPr>
              <w:spacing w:after="60" w:before="60"/>
            </w:pPr>
            <w:r>
              <w:rPr>
                <w:rFonts w:ascii="Arial" w:cs="Arial" w:eastAsia="Arial" w:hAnsi="Arial"/>
                <w:b/>
                <w:bCs/>
                <w:color w:val="1A5D2C"/>
                <w:sz w:val="22"/>
                <w:szCs w:val="22"/>
              </w:rPr>
              <w:t xml:space="preserve">Identify data and entities to be moved — </w:t>
            </w:r>
            <w:r>
              <w:rPr>
                <w:rFonts w:ascii="Arial" w:cs="Arial" w:eastAsia="Arial" w:hAnsi="Arial"/>
                <w:color w:val="1E2A38"/>
                <w:sz w:val="22"/>
                <w:szCs w:val="22"/>
              </w:rPr>
              <w:t xml:space="preserve">both the output data and the entities that support it (counterparty, agreement, position, etc.).</w:t>
            </w:r>
          </w:p>
          <w:p>
            <w:pPr>
              <w:pStyle w:val="ListParagraph"/>
              <w:numPr>
                <w:ilvl w:val="0"/>
                <w:numId w:val="2"/>
              </w:numPr>
              <w:spacing w:after="60" w:before="60"/>
            </w:pPr>
            <w:r>
              <w:rPr>
                <w:rFonts w:ascii="Arial" w:cs="Arial" w:eastAsia="Arial" w:hAnsi="Arial"/>
                <w:b/>
                <w:bCs/>
                <w:color w:val="1A5D2C"/>
                <w:sz w:val="22"/>
                <w:szCs w:val="22"/>
              </w:rPr>
              <w:t xml:space="preserve">Ingestion — </w:t>
            </w:r>
            <w:r>
              <w:rPr>
                <w:rFonts w:ascii="Arial" w:cs="Arial" w:eastAsia="Arial" w:hAnsi="Arial"/>
                <w:color w:val="1E2A38"/>
                <w:sz w:val="22"/>
                <w:szCs w:val="22"/>
              </w:rPr>
              <w:t xml:space="preserve">load the data into the application's space in the analytics environment.</w:t>
            </w:r>
          </w:p>
          <w:p>
            <w:pPr>
              <w:pStyle w:val="ListParagraph"/>
              <w:numPr>
                <w:ilvl w:val="0"/>
                <w:numId w:val="2"/>
              </w:numPr>
              <w:spacing w:after="60" w:before="60"/>
            </w:pPr>
            <w:r>
              <w:rPr>
                <w:rFonts w:ascii="Arial" w:cs="Arial" w:eastAsia="Arial" w:hAnsi="Arial"/>
                <w:b/>
                <w:bCs/>
                <w:color w:val="1A5D2C"/>
                <w:sz w:val="22"/>
                <w:szCs w:val="22"/>
              </w:rPr>
              <w:t xml:space="preserve">Build the domain model within the application — </w:t>
            </w:r>
            <w:r>
              <w:rPr>
                <w:rFonts w:ascii="Arial" w:cs="Arial" w:eastAsia="Arial" w:hAnsi="Arial"/>
                <w:color w:val="1E2A38"/>
                <w:sz w:val="22"/>
                <w:szCs w:val="22"/>
              </w:rPr>
              <w:t xml:space="preserve">entities and their relationships, in the application's vocabulary.</w:t>
            </w:r>
          </w:p>
          <w:p>
            <w:pPr>
              <w:pStyle w:val="ListParagraph"/>
              <w:numPr>
                <w:ilvl w:val="0"/>
                <w:numId w:val="2"/>
              </w:numPr>
              <w:spacing w:after="60" w:before="60"/>
            </w:pPr>
            <w:r>
              <w:rPr>
                <w:rFonts w:ascii="Arial" w:cs="Arial" w:eastAsia="Arial" w:hAnsi="Arial"/>
                <w:b/>
                <w:bCs/>
                <w:color w:val="1A5D2C"/>
                <w:sz w:val="22"/>
                <w:szCs w:val="22"/>
              </w:rPr>
              <w:t xml:space="preserve">Conform within the application — </w:t>
            </w:r>
            <w:r>
              <w:rPr>
                <w:rFonts w:ascii="Arial" w:cs="Arial" w:eastAsia="Arial" w:hAnsi="Arial"/>
                <w:color w:val="1E2A38"/>
                <w:sz w:val="22"/>
                <w:szCs w:val="22"/>
              </w:rPr>
              <w:t xml:space="preserve">resolve entity definitions inside the app.</w:t>
            </w:r>
          </w:p>
          <w:p>
            <w:pPr>
              <w:pStyle w:val="ListParagraph"/>
              <w:numPr>
                <w:ilvl w:val="0"/>
                <w:numId w:val="2"/>
              </w:numPr>
              <w:spacing w:after="60" w:before="60"/>
            </w:pPr>
            <w:r>
              <w:rPr>
                <w:rFonts w:ascii="Arial" w:cs="Arial" w:eastAsia="Arial" w:hAnsi="Arial"/>
                <w:b/>
                <w:bCs/>
                <w:color w:val="1A5D2C"/>
                <w:sz w:val="22"/>
                <w:szCs w:val="22"/>
              </w:rPr>
              <w:t xml:space="preserve">Conform across applications — </w:t>
            </w:r>
            <w:r>
              <w:rPr>
                <w:rFonts w:ascii="Arial" w:cs="Arial" w:eastAsia="Arial" w:hAnsi="Arial"/>
                <w:color w:val="1E2A38"/>
                <w:sz w:val="22"/>
                <w:szCs w:val="22"/>
              </w:rPr>
              <w:t xml:space="preserve">agree definitions with other applications producing the same entities. Reach the Risk Conformed state for each shared entity.</w:t>
            </w:r>
          </w:p>
          <w:p>
            <w:pPr>
              <w:pStyle w:val="ListParagraph"/>
              <w:numPr>
                <w:ilvl w:val="0"/>
                <w:numId w:val="2"/>
              </w:numPr>
              <w:spacing w:after="60" w:before="60"/>
            </w:pPr>
            <w:r>
              <w:rPr>
                <w:rFonts w:ascii="Arial" w:cs="Arial" w:eastAsia="Arial" w:hAnsi="Arial"/>
                <w:b/>
                <w:bCs/>
                <w:color w:val="1A5D2C"/>
                <w:sz w:val="22"/>
                <w:szCs w:val="22"/>
              </w:rPr>
              <w:t xml:space="preserve">Fill in the Data Product Canvas — </w:t>
            </w:r>
            <w:r>
              <w:rPr>
                <w:rFonts w:ascii="Arial" w:cs="Arial" w:eastAsia="Arial" w:hAnsi="Arial"/>
                <w:color w:val="1E2A38"/>
                <w:sz w:val="22"/>
                <w:szCs w:val="22"/>
              </w:rPr>
              <w:t xml:space="preserve">for each report being elevated to a product.</w:t>
            </w:r>
          </w:p>
          <w:p>
            <w:pPr>
              <w:pStyle w:val="ListParagraph"/>
              <w:numPr>
                <w:ilvl w:val="0"/>
                <w:numId w:val="2"/>
              </w:numPr>
              <w:spacing w:after="60" w:before="60"/>
            </w:pPr>
            <w:r>
              <w:rPr>
                <w:rFonts w:ascii="Arial" w:cs="Arial" w:eastAsia="Arial" w:hAnsi="Arial"/>
                <w:b/>
                <w:bCs/>
                <w:color w:val="1A5D2C"/>
                <w:sz w:val="22"/>
                <w:szCs w:val="22"/>
              </w:rPr>
              <w:t xml:space="preserve">Contribute to the CDM and (where relevant) the dimensional model — </w:t>
            </w:r>
            <w:r>
              <w:rPr>
                <w:rFonts w:ascii="Arial" w:cs="Arial" w:eastAsia="Arial" w:hAnsi="Arial"/>
                <w:color w:val="1E2A38"/>
                <w:sz w:val="22"/>
                <w:szCs w:val="22"/>
              </w:rPr>
              <w:t xml:space="preserve">the entities and relationships you've conformed feed into the canonical model.</w:t>
            </w:r>
          </w:p>
          <w:p>
            <w:pPr>
              <w:pStyle w:val="ListParagraph"/>
              <w:numPr>
                <w:ilvl w:val="0"/>
                <w:numId w:val="2"/>
              </w:numPr>
              <w:spacing w:after="60" w:before="60"/>
            </w:pPr>
            <w:r>
              <w:rPr>
                <w:rFonts w:ascii="Arial" w:cs="Arial" w:eastAsia="Arial" w:hAnsi="Arial"/>
                <w:b/>
                <w:bCs/>
                <w:color w:val="1A5D2C"/>
                <w:sz w:val="22"/>
                <w:szCs w:val="22"/>
              </w:rPr>
              <w:t xml:space="preserve">Publish to risk_warehouse — </w:t>
            </w:r>
            <w:r>
              <w:rPr>
                <w:rFonts w:ascii="Arial" w:cs="Arial" w:eastAsia="Arial" w:hAnsi="Arial"/>
                <w:color w:val="1E2A38"/>
                <w:sz w:val="22"/>
                <w:szCs w:val="22"/>
              </w:rPr>
              <w:t xml:space="preserve">v8 contract + data product + conformed entities pushed to the business-facing layer.</w:t>
            </w:r>
          </w:p>
          <w:p>
            <w:pPr>
              <w:spacing w:after="0" w:before="120"/>
            </w:pPr>
            <w:r>
              <w:rPr>
                <w:rFonts w:ascii="Arial" w:cs="Arial" w:eastAsia="Arial" w:hAnsi="Arial"/>
                <w:i/>
                <w:iCs/>
                <w:color w:val="5B6B7D"/>
                <w:sz w:val="20"/>
                <w:szCs w:val="20"/>
              </w:rPr>
              <w:t xml:space="preserve">Each step has its own existing page in Confluence. The links below point to those pages — they don't need to be re-created.</w:t>
            </w:r>
          </w:p>
        </w:tc>
      </w:tr>
    </w:tbl>
    <w:p>
      <w:pPr>
        <w:spacing w:after="80" w:before="120"/>
        <w:jc w:val="left"/>
      </w:pPr>
      <w:r>
        <w:rPr>
          <w:rFonts w:ascii="Arial" w:cs="Arial" w:eastAsia="Arial" w:hAnsi="Arial"/>
          <w:b w:val="false"/>
          <w:bCs w:val="false"/>
          <w:i w:val="false"/>
          <w:iCs w:val="false"/>
          <w:color w:val="1E2A38"/>
          <w:sz w:val="22"/>
          <w:szCs w:val="22"/>
        </w:rPr>
        <w:t xml:space="preserve"/>
      </w:r>
    </w:p>
    <w:p>
      <w:pPr>
        <w:pStyle w:val="ListParagraph"/>
        <w:numPr>
          <w:ilvl w:val="0"/>
          <w:numId w:val="3"/>
        </w:numPr>
        <w:spacing w:after="40" w:before="40"/>
      </w:pPr>
      <w:r>
        <w:rPr>
          <w:rFonts w:ascii="Arial" w:cs="Arial" w:eastAsia="Arial" w:hAnsi="Arial"/>
          <w:b/>
          <w:bCs/>
          <w:color w:val="1E2A38"/>
          <w:sz w:val="22"/>
          <w:szCs w:val="22"/>
        </w:rPr>
        <w:t xml:space="preserve">Steps 1–2: </w:t>
      </w:r>
      <w:r>
        <w:rPr>
          <w:rFonts w:ascii="Arial" w:cs="Arial" w:eastAsia="Arial" w:hAnsi="Arial"/>
          <w:color w:val="1E2A38"/>
          <w:sz w:val="22"/>
          <w:szCs w:val="22"/>
        </w:rPr>
        <w:t xml:space="preserve"/>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Naming conventions]</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Structural conformance]</w:t>
      </w:r>
    </w:p>
    <w:p>
      <w:pPr>
        <w:pStyle w:val="ListParagraph"/>
        <w:numPr>
          <w:ilvl w:val="0"/>
          <w:numId w:val="3"/>
        </w:numPr>
        <w:spacing w:after="40" w:before="40"/>
      </w:pPr>
      <w:r>
        <w:rPr>
          <w:rFonts w:ascii="Arial" w:cs="Arial" w:eastAsia="Arial" w:hAnsi="Arial"/>
          <w:b/>
          <w:bCs/>
          <w:color w:val="1E2A38"/>
          <w:sz w:val="22"/>
          <w:szCs w:val="22"/>
        </w:rPr>
        <w:t xml:space="preserve">Steps 3–5: </w:t>
      </w:r>
      <w:r>
        <w:rPr>
          <w:rFonts w:ascii="Arial" w:cs="Arial" w:eastAsia="Arial" w:hAnsi="Arial"/>
          <w:color w:val="1E2A38"/>
          <w:sz w:val="22"/>
          <w:szCs w:val="22"/>
        </w:rPr>
        <w:t xml:space="preserve"/>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Domain modelling]</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Data conformance / Risk Conformed standard]</w:t>
      </w:r>
    </w:p>
    <w:p>
      <w:pPr>
        <w:pStyle w:val="ListParagraph"/>
        <w:numPr>
          <w:ilvl w:val="0"/>
          <w:numId w:val="3"/>
        </w:numPr>
        <w:spacing w:after="40" w:before="40"/>
      </w:pPr>
      <w:r>
        <w:rPr>
          <w:rFonts w:ascii="Arial" w:cs="Arial" w:eastAsia="Arial" w:hAnsi="Arial"/>
          <w:b/>
          <w:bCs/>
          <w:color w:val="1E2A38"/>
          <w:sz w:val="22"/>
          <w:szCs w:val="22"/>
        </w:rPr>
        <w:t xml:space="preserve">Step 6: Data Product Canvas</w:t>
      </w:r>
      <w:r>
        <w:rPr>
          <w:rFonts w:ascii="Arial" w:cs="Arial" w:eastAsia="Arial" w:hAnsi="Arial"/>
          <w:color w:val="1E2A38"/>
          <w:sz w:val="22"/>
          <w:szCs w:val="22"/>
        </w:rPr>
        <w:t xml:space="preserve"/>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Canvas template (Word)]</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Worked example]</w:t>
      </w:r>
    </w:p>
    <w:p>
      <w:pPr>
        <w:pStyle w:val="ListParagraph"/>
        <w:numPr>
          <w:ilvl w:val="0"/>
          <w:numId w:val="3"/>
        </w:numPr>
        <w:spacing w:after="40" w:before="40"/>
      </w:pPr>
      <w:r>
        <w:rPr>
          <w:rFonts w:ascii="Arial" w:cs="Arial" w:eastAsia="Arial" w:hAnsi="Arial"/>
          <w:b/>
          <w:bCs/>
          <w:color w:val="1E2A38"/>
          <w:sz w:val="22"/>
          <w:szCs w:val="22"/>
        </w:rPr>
        <w:t xml:space="preserve">Step 7: CDM &amp; Dimensional Model</w:t>
      </w:r>
      <w:r>
        <w:rPr>
          <w:rFonts w:ascii="Arial" w:cs="Arial" w:eastAsia="Arial" w:hAnsi="Arial"/>
          <w:color w:val="1E2A38"/>
          <w:sz w:val="22"/>
          <w:szCs w:val="22"/>
        </w:rPr>
        <w:t xml:space="preserve"/>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CDM &amp; Dimensional Model documentation]</w:t>
      </w:r>
    </w:p>
    <w:p>
      <w:pPr>
        <w:pStyle w:val="ListParagraph"/>
        <w:numPr>
          <w:ilvl w:val="0"/>
          <w:numId w:val="3"/>
        </w:numPr>
        <w:spacing w:after="40" w:before="40"/>
      </w:pPr>
      <w:r>
        <w:rPr>
          <w:rFonts w:ascii="Arial" w:cs="Arial" w:eastAsia="Arial" w:hAnsi="Arial"/>
          <w:b/>
          <w:bCs/>
          <w:color w:val="1E2A38"/>
          <w:sz w:val="22"/>
          <w:szCs w:val="22"/>
        </w:rPr>
        <w:t xml:space="preserve">Step 8: Publishing</w:t>
      </w:r>
      <w:r>
        <w:rPr>
          <w:rFonts w:ascii="Arial" w:cs="Arial" w:eastAsia="Arial" w:hAnsi="Arial"/>
          <w:color w:val="1E2A38"/>
          <w:sz w:val="22"/>
          <w:szCs w:val="22"/>
        </w:rPr>
        <w:t xml:space="preserve"/>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Publishing to risk_warehouse — checklist]</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1A5D2C"/>
          <w:sz w:val="32"/>
          <w:szCs w:val="32"/>
        </w:rPr>
        <w:t xml:space="preserve">Browse certified data products</w:t>
      </w:r>
    </w:p>
    <w:p>
      <w:pPr>
        <w:spacing w:after="80" w:before="80"/>
        <w:jc w:val="left"/>
      </w:pPr>
      <w:r>
        <w:rPr>
          <w:rFonts w:ascii="Arial" w:cs="Arial" w:eastAsia="Arial" w:hAnsi="Arial"/>
          <w:b w:val="false"/>
          <w:bCs w:val="false"/>
          <w:i w:val="false"/>
          <w:iCs w:val="false"/>
          <w:color w:val="1E2A38"/>
          <w:sz w:val="22"/>
          <w:szCs w:val="22"/>
        </w:rPr>
        <w:t xml:space="preserve">Looking for an existing product rather than starting a new use case? The Products catalog lists every certified data product with its canvas, contract, and consumer information.</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[PLACEHOLDER — Products catalog (Confluence)]</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1A5D2C"/>
          <w:sz w:val="32"/>
          <w:szCs w:val="32"/>
        </w:rPr>
        <w:t xml:space="preserve">Related pages</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A working strategy for starting]</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Data Modelling for Risk]</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Conformance — the longer view]</w:t>
      </w:r>
    </w:p>
    <w:p>
      <w:pPr>
        <w:pBdr>
          <w:top w:val="dashed" w:color="B9772A" w:sz="4"/>
          <w:left w:val="dashed" w:color="B9772A" w:sz="4"/>
          <w:bottom w:val="dashed" w:color="B9772A" w:sz="4"/>
          <w:right w:val="dashed" w:color="B9772A" w:sz="4"/>
        </w:pBdr>
        <w:shd w:fill="FDF5E0" w:val="clear"/>
        <w:spacing w:after="40" w:before="40"/>
        <w:ind w:left="200"/>
      </w:pPr>
      <w:r>
        <w:rPr>
          <w:rFonts w:ascii="Arial" w:cs="Arial" w:eastAsia="Arial" w:hAnsi="Arial"/>
          <w:i/>
          <w:iCs/>
          <w:color w:val="B9772A"/>
          <w:sz w:val="20"/>
          <w:szCs w:val="20"/>
        </w:rPr>
        <w:t xml:space="preserve">[Confluence link — How the data contract gets built]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D"/>
        <w:sz w:val="16"/>
        <w:szCs w:val="16"/>
      </w:rPr>
      <w:t xml:space="preserve">Onboarding to the Risk Analytics Environment  ·  TD Risk Data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to the Risk Analytics Environment</dc:title>
  <dc:creator>TD Risk Data Platform</dc:creator>
  <dc:description>How to bring a business use case or an application's data into the analytics environment.</dc:description>
  <cp:lastModifiedBy>Un-named</cp:lastModifiedBy>
  <cp:revision>1</cp:revision>
  <dcterms:created xsi:type="dcterms:W3CDTF">2026-05-26T23:57:36.098Z</dcterms:created>
  <dcterms:modified xsi:type="dcterms:W3CDTF">2026-05-26T23:57:36.098Z</dcterms:modified>
</cp:coreProperties>
</file>

<file path=docProps/custom.xml><?xml version="1.0" encoding="utf-8"?>
<Properties xmlns="http://schemas.openxmlformats.org/officeDocument/2006/custom-properties" xmlns:vt="http://schemas.openxmlformats.org/officeDocument/2006/docPropsVTypes"/>
</file>