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b/>
          <w:bCs/>
          <w:color w:val="2E5C8A"/>
          <w:sz w:val="44"/>
          <w:szCs w:val="44"/>
        </w:rPr>
        <w:t xml:space="preserve">Conformance — the longer view</w:t>
      </w:r>
    </w:p>
    <w:p>
      <w:pPr>
        <w:spacing w:after="120" w:before="0"/>
      </w:pPr>
      <w:r>
        <w:rPr>
          <w:i/>
          <w:iCs/>
          <w:color w:val="5B6B7D"/>
          <w:sz w:val="24"/>
          <w:szCs w:val="24"/>
        </w:rPr>
        <w:t xml:space="preserve">Sub-page of Data Modelling for Risk — what conformance is, where the failures hide, and how the Risk Data Catalog fits in</w:t>
      </w:r>
    </w:p>
    <w:p>
      <w:pPr>
        <w:pBdr>
          <w:bottom w:val="single" w:color="2E5C8A" w:sz="12" w:space="1"/>
        </w:pBdr>
        <w:spacing w:after="240" w:before="0"/>
      </w:pPr>
      <w:r>
        <w:t xml:space="preserve"/>
      </w:r>
    </w:p>
    <w:p>
      <w:pPr>
        <w:spacing w:after="80" w:before="80" w:line="300"/>
      </w:pPr>
      <w:r>
        <w:rPr>
          <w:sz w:val="22"/>
          <w:szCs w:val="22"/>
        </w:rPr>
        <w:t xml:space="preserve">The main page introduced conformance using the example of one counterparty identified three different ways across files produced by the same application. This sub-page extends that picture: what conformance actually is, the three forms in which it fails, examples grounded in risk applications, the role of the Risk Data Catalog, and the attribute-level work that is the next increment.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C8A" w:sz="24"/>
              <w:bottom w:val="none" w:color="FFFFFF" w:sz="0"/>
              <w:right w:val="none" w:color="FFFFFF" w:sz="0"/>
            </w:tcBorders>
            <w:shd w:fill="EAF1F8" w:val="clear"/>
            <w:tcMar>
              <w:top w:type="dxa" w:w="180"/>
              <w:left w:type="dxa" w:w="260"/>
              <w:bottom w:type="dxa" w:w="180"/>
              <w:right w:type="dxa" w:w="200"/>
            </w:tcMar>
          </w:tcPr>
          <w:p>
            <w:pPr>
              <w:spacing w:after="40" w:before="40" w:line="300"/>
            </w:pPr>
            <w:r>
              <w:rPr>
                <w:b/>
                <w:bCs/>
                <w:sz w:val="22"/>
                <w:szCs w:val="22"/>
              </w:rPr>
              <w:t xml:space="preserve">Throughout this page: </w:t>
            </w:r>
            <w:r>
              <w:rPr>
                <w:sz w:val="22"/>
                <w:szCs w:val="22"/>
              </w:rPr>
              <w:t xml:space="preserve">conformance is the difference between </w:t>
            </w:r>
            <w:r>
              <w:rPr>
                <w:b/>
                <w:bCs/>
                <w:sz w:val="22"/>
                <w:szCs w:val="22"/>
              </w:rPr>
              <w:t xml:space="preserve">two sources publishing data that looks the same</w:t>
            </w:r>
            <w:r>
              <w:rPr>
                <w:sz w:val="22"/>
                <w:szCs w:val="22"/>
              </w:rPr>
              <w:t xml:space="preserve"> and </w:t>
            </w:r>
            <w:r>
              <w:rPr>
                <w:b/>
                <w:bCs/>
                <w:sz w:val="22"/>
                <w:szCs w:val="22"/>
              </w:rPr>
              <w:t xml:space="preserve">two sources publishing data that means the same</w:t>
            </w:r>
            <w:r>
              <w:rPr>
                <w:sz w:val="22"/>
                <w:szCs w:val="22"/>
              </w:rPr>
              <w:t xml:space="preserve">. Only the second can be combined safely.</w:t>
            </w:r>
          </w:p>
        </w:tc>
      </w:tr>
    </w:tbl>
    <w:p>
      <w:pPr>
        <w:pStyle w:val="Heading2"/>
        <w:spacing w:after="160" w:before="320"/>
      </w:pPr>
      <w:r>
        <w:rPr>
          <w:b/>
          <w:bCs/>
          <w:color w:val="2E5C8A"/>
          <w:sz w:val="28"/>
          <w:szCs w:val="28"/>
        </w:rPr>
        <w:t xml:space="preserve">What conformance really means</w:t>
      </w:r>
    </w:p>
    <w:p>
      <w:pPr>
        <w:spacing w:after="80" w:before="80" w:line="300"/>
      </w:pPr>
      <w:r>
        <w:rPr>
          <w:sz w:val="22"/>
          <w:szCs w:val="22"/>
        </w:rPr>
        <w:t xml:space="preserve">A logical model defines an entity — Counterparty, Security, Trade — once, with one definition of every attribute. The physical world holds that entity in many places: a JSON message from a TMS, an XML payload from a vendor, a Databricks table, a row in a CCR fact. Conformance is the discipline that ensures every one of those physical instances genuinely represents the same logical entity. Not just structurally — in what the values actually mean.</w:t>
      </w:r>
    </w:p>
    <w:p>
      <w:pPr>
        <w:spacing w:after="80" w:before="80" w:line="300"/>
      </w:pPr>
      <w:r>
        <w:rPr>
          <w:sz w:val="22"/>
          <w:szCs w:val="22"/>
        </w:rPr>
        <w:t xml:space="preserve">Column names matching is necessary but not sufficient. Two systems can both have a counterparty_rating column and still be holding fundamentally different things if one sources Moody's and the other S&amp;P, if one is daily-refreshed and the other is point-in-time, or if one is filtered to current ratings and the other includes historical ones. The conformance question is whether a consumer can combine two values and trust the result. Matching column names does not answer that question.</w:t>
      </w:r>
    </w:p>
    <w:p>
      <w:pPr>
        <w:pStyle w:val="Heading2"/>
        <w:spacing w:after="160" w:before="320"/>
      </w:pPr>
      <w:r>
        <w:rPr>
          <w:b/>
          <w:bCs/>
          <w:color w:val="2E5C8A"/>
          <w:sz w:val="28"/>
          <w:szCs w:val="28"/>
        </w:rPr>
        <w:t xml:space="preserve">Why structural alignment is not enough</w:t>
      </w:r>
    </w:p>
    <w:p>
      <w:pPr>
        <w:spacing w:after="80" w:before="80" w:line="300"/>
      </w:pPr>
      <w:r>
        <w:rPr>
          <w:sz w:val="22"/>
          <w:szCs w:val="22"/>
        </w:rPr>
        <w:t xml:space="preserve">Schema validation catches the obvious cases — wrong data type, missing column, broken referential integrity. It does not catch the cases where structure is fine but content does not mean what it appears to mean. These are the conformance failures that propagate silently into downstream analytics.</w:t>
      </w:r>
    </w:p>
    <w:p>
      <w:pPr>
        <w:spacing w:after="80" w:before="80" w:line="300"/>
      </w:pPr>
      <w:r>
        <w:rPr>
          <w:sz w:val="22"/>
          <w:szCs w:val="22"/>
        </w:rPr>
        <w:t xml:space="preserve">For conformance to be verifiable, several attributes of the data have to be declared explicitly, not just the column type:</w:t>
      </w:r>
    </w:p>
    <w:p>
      <w:pPr>
        <w:pStyle w:val="ListParagraph"/>
        <w:numPr>
          <w:ilvl w:val="0"/>
          <w:numId w:val="2"/>
        </w:numPr>
        <w:spacing w:after="40" w:before="40" w:line="280"/>
      </w:pPr>
      <w:r>
        <w:rPr>
          <w:b/>
          <w:bCs/>
          <w:sz w:val="22"/>
          <w:szCs w:val="22"/>
        </w:rPr>
        <w:t xml:space="preserve">Source — </w:t>
      </w:r>
      <w:r>
        <w:rPr>
          <w:sz w:val="22"/>
          <w:szCs w:val="22"/>
        </w:rPr>
        <w:t xml:space="preserve">which upstream system supplied each value. The same column name across two applications can carry data from different sources.</w:t>
      </w:r>
    </w:p>
    <w:p>
      <w:pPr>
        <w:pStyle w:val="ListParagraph"/>
        <w:numPr>
          <w:ilvl w:val="0"/>
          <w:numId w:val="2"/>
        </w:numPr>
        <w:spacing w:after="40" w:before="40" w:line="280"/>
      </w:pPr>
      <w:r>
        <w:rPr>
          <w:b/>
          <w:bCs/>
          <w:sz w:val="22"/>
          <w:szCs w:val="22"/>
        </w:rPr>
        <w:t xml:space="preserve">Timing — </w:t>
      </w:r>
      <w:r>
        <w:rPr>
          <w:sz w:val="22"/>
          <w:szCs w:val="22"/>
        </w:rPr>
        <w:t xml:space="preserve">when the value was captured. End-of-day, intraday, point-in-time, latest known. Two values with the same name but different timing semantics are not comparable.</w:t>
      </w:r>
    </w:p>
    <w:p>
      <w:pPr>
        <w:pStyle w:val="ListParagraph"/>
        <w:numPr>
          <w:ilvl w:val="0"/>
          <w:numId w:val="2"/>
        </w:numPr>
        <w:spacing w:after="40" w:before="40" w:line="280"/>
      </w:pPr>
      <w:r>
        <w:rPr>
          <w:b/>
          <w:bCs/>
          <w:sz w:val="22"/>
          <w:szCs w:val="22"/>
        </w:rPr>
        <w:t xml:space="preserve">Distribution platform — </w:t>
      </w:r>
      <w:r>
        <w:rPr>
          <w:sz w:val="22"/>
          <w:szCs w:val="22"/>
        </w:rPr>
        <w:t xml:space="preserve">how the data arrived. Direct connection, services layer, data lake intermediary. Each carries its own transformations and timing characteristics.</w:t>
      </w:r>
    </w:p>
    <w:p>
      <w:pPr>
        <w:pStyle w:val="ListParagraph"/>
        <w:numPr>
          <w:ilvl w:val="0"/>
          <w:numId w:val="2"/>
        </w:numPr>
        <w:spacing w:after="40" w:before="40" w:line="280"/>
      </w:pPr>
      <w:r>
        <w:rPr>
          <w:b/>
          <w:bCs/>
          <w:sz w:val="22"/>
          <w:szCs w:val="22"/>
        </w:rPr>
        <w:t xml:space="preserve">Transformations — </w:t>
      </w:r>
      <w:r>
        <w:rPr>
          <w:sz w:val="22"/>
          <w:szCs w:val="22"/>
        </w:rPr>
        <w:t xml:space="preserve">what rules were applied between consuming the source value and using it. Splits, joins, mappings, unit conversions, fallback selection.</w:t>
      </w:r>
    </w:p>
    <w:p>
      <w:pPr>
        <w:pStyle w:val="ListParagraph"/>
        <w:numPr>
          <w:ilvl w:val="0"/>
          <w:numId w:val="2"/>
        </w:numPr>
        <w:spacing w:after="40" w:before="40" w:line="280"/>
      </w:pPr>
      <w:r>
        <w:rPr>
          <w:b/>
          <w:bCs/>
          <w:sz w:val="22"/>
          <w:szCs w:val="22"/>
        </w:rPr>
        <w:t xml:space="preserve">Fallback rules — </w:t>
      </w:r>
      <w:r>
        <w:rPr>
          <w:sz w:val="22"/>
          <w:szCs w:val="22"/>
        </w:rPr>
        <w:t xml:space="preserve">when the primary source has no value, where the application looks next. Different applications consuming the same logical attribute can resolve it from different sources depending on which primary returns a value.</w:t>
      </w:r>
    </w:p>
    <w:p>
      <w:pPr>
        <w:spacing w:after="80" w:before="80" w:line="300"/>
      </w:pPr>
      <w:r>
        <w:rPr>
          <w:sz w:val="22"/>
          <w:szCs w:val="22"/>
        </w:rPr>
        <w:t xml:space="preserve">Without these declarations, the column is opaque. A consumer reading it cannot tell whether it can be combined with another column of the same name elsewhere — and if so, on what conditions.</w:t>
      </w:r>
    </w:p>
    <w:p>
      <w:pPr>
        <w:pStyle w:val="Heading3"/>
        <w:spacing w:after="100" w:before="240"/>
      </w:pPr>
      <w:r>
        <w:rPr>
          <w:b/>
          <w:bCs/>
          <w:color w:val="1E2A38"/>
          <w:sz w:val="24"/>
          <w:szCs w:val="24"/>
        </w:rPr>
        <w:t xml:space="preserve">The Risk Data Catalog as the starting foundation</w:t>
      </w:r>
    </w:p>
    <w:p>
      <w:pPr>
        <w:spacing w:after="80" w:before="80" w:line="300"/>
      </w:pPr>
      <w:r>
        <w:rPr>
          <w:sz w:val="22"/>
          <w:szCs w:val="22"/>
        </w:rPr>
        <w:t xml:space="preserve">This kind of detail is already being captured for risk, at the source-to-application level. The Risk Data Catalog records, for every application across CCR, Market Risk, Funding, Liquidity, Valuation Services, and the other product groups, which sources the application consumes from, on what platform, by what mechanism, and at what schedule. The catalog covers the source-application relationship for the risk estate.</w:t>
      </w:r>
    </w:p>
    <w:p>
      <w:pPr>
        <w:spacing w:after="40" w:before="40"/>
      </w:pPr>
      <w:r>
        <w:rPr>
          <w:sz w:val="22"/>
          <w:szCs w:val="22"/>
        </w:rPr>
        <w:t xml:space="preserve">🛠 </w:t>
      </w:r>
      <w:r>
        <w:rPr>
          <w:i/>
          <w:iCs/>
          <w:color w:val="2E5C8A"/>
          <w:sz w:val="22"/>
          <w:szCs w:val="22"/>
        </w:rPr>
        <w:t xml:space="preserve">[Tool link to attach in Confluence: Risk Data Catalog]</w:t>
      </w:r>
    </w:p>
    <w:p>
      <w:pPr>
        <w:spacing w:after="80" w:before="80" w:line="300"/>
      </w:pPr>
      <w:r>
        <w:rPr>
          <w:sz w:val="22"/>
          <w:szCs w:val="22"/>
        </w:rPr>
        <w:t xml:space="preserve">The catalog provides the substrate for the conformance work. Of the five attributes listed above — source, timing, distribution platform, transformations, fallback rules — the catalog captures the first three in a structured form per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Already in the catalog</w:t>
            </w:r>
          </w:p>
        </w:tc>
        <w:tc>
          <w:tcPr>
            <w:tcW w:type="dxa" w:w="46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Not yet captured</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Application consuming the source</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Attribute-level mapping (which specific attributes come from which source)</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Source name, malcode, platform</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Fallback / precedence rules across sources</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Distribution mechanism (queue, file, API)</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Transformations applied between source and use</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Data freshness / schedule (realtime, daily, etc.)</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Conflict resolution rules when sources disagree</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TDS domain classification, system type</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Versioning of mapping rules</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Description and operational metadata</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Time-binding of any of the above</w:t>
            </w:r>
          </w:p>
        </w:tc>
      </w:tr>
    </w:tbl>
    <w:p>
      <w:pPr>
        <w:spacing w:after="80" w:before="80" w:line="300"/>
      </w:pPr>
      <w:r>
        <w:rPr>
          <w:sz w:val="22"/>
          <w:szCs w:val="22"/>
        </w:rPr>
        <w:t xml:space="preserve">The right-hand column is the next increment. It is not a critique of the catalog; the catalog is the foundation that makes the next increment possible. Without it, this work would have nowhere to start.</w:t>
      </w:r>
    </w:p>
    <w:p>
      <w:pPr>
        <w:pStyle w:val="Heading2"/>
        <w:spacing w:after="160" w:before="320"/>
      </w:pPr>
      <w:r>
        <w:rPr>
          <w:b/>
          <w:bCs/>
          <w:color w:val="2E5C8A"/>
          <w:sz w:val="28"/>
          <w:szCs w:val="28"/>
        </w:rPr>
        <w:t xml:space="preserve">The three forms of conformance failure</w:t>
      </w:r>
    </w:p>
    <w:p>
      <w:pPr>
        <w:spacing w:after="80" w:before="80" w:line="300"/>
      </w:pPr>
      <w:r>
        <w:rPr>
          <w:sz w:val="22"/>
          <w:szCs w:val="22"/>
        </w:rPr>
        <w:t xml:space="preserve">Conformance failures fall into three categories. Each fails differently, and each is addressed by a different kind of work.</w:t>
      </w:r>
    </w:p>
    <w:p>
      <w:pPr>
        <w:pStyle w:val="Heading3"/>
        <w:spacing w:after="100" w:before="240"/>
      </w:pPr>
      <w:r>
        <w:rPr>
          <w:b/>
          <w:bCs/>
          <w:color w:val="1E2A38"/>
          <w:sz w:val="24"/>
          <w:szCs w:val="24"/>
        </w:rPr>
        <w:t xml:space="preserve">Structural</w:t>
      </w:r>
    </w:p>
    <w:p>
      <w:pPr>
        <w:spacing w:after="80" w:before="80" w:line="300"/>
      </w:pPr>
      <w:r>
        <w:rPr>
          <w:sz w:val="22"/>
          <w:szCs w:val="22"/>
        </w:rPr>
        <w:t xml:space="preserve">The physical instance does not match the logical entity's structure. Attributes missing, types wrong, relationships broken. This is the surface layer. Schema validation catches most of it, and it is the form most often associated with the word "conformance" in tooling. Necessary, but the easiest of the three.</w:t>
      </w:r>
    </w:p>
    <w:p>
      <w:pPr>
        <w:pStyle w:val="Heading3"/>
        <w:spacing w:after="100" w:before="240"/>
      </w:pPr>
      <w:r>
        <w:rPr>
          <w:b/>
          <w:bCs/>
          <w:color w:val="1E2A38"/>
          <w:sz w:val="24"/>
          <w:szCs w:val="24"/>
        </w:rPr>
        <w:t xml:space="preserve">Content</w:t>
      </w:r>
    </w:p>
    <w:p>
      <w:pPr>
        <w:spacing w:after="80" w:before="80" w:line="300"/>
      </w:pPr>
      <w:r>
        <w:rPr>
          <w:sz w:val="22"/>
          <w:szCs w:val="22"/>
        </w:rPr>
        <w:t xml:space="preserve">Structure is fine, but values are not comparable across sources. Different vendors, different scales, different timing, different fallback rules. Two columns share a name and a type but do not share a meaning. This is the silent failure mode — nothing breaks, no validation fires, the numbers come back, and the downstream analytics are quietly wrong.</w:t>
      </w:r>
    </w:p>
    <w:p>
      <w:pPr>
        <w:pStyle w:val="Heading3"/>
        <w:spacing w:after="100" w:before="240"/>
      </w:pPr>
      <w:r>
        <w:rPr>
          <w:b/>
          <w:bCs/>
          <w:color w:val="1E2A38"/>
          <w:sz w:val="24"/>
          <w:szCs w:val="24"/>
        </w:rPr>
        <w:t xml:space="preserve">Encoded-content</w:t>
      </w:r>
    </w:p>
    <w:p>
      <w:pPr>
        <w:spacing w:after="80" w:before="80" w:line="300"/>
      </w:pPr>
      <w:r>
        <w:rPr>
          <w:sz w:val="22"/>
          <w:szCs w:val="22"/>
        </w:rPr>
        <w:t xml:space="preserve">A single column carries multiple distinct concepts bundled together — colon-separated, slash-separated, free-text composite. The data is un-parsed and therefore un-conformed. Consumers must reverse-engineer the encoding every time, often inconsistently. This is the form most commonly inherited from upstream vendor feeds or legacy exports.</w:t>
      </w:r>
    </w:p>
    <w:p>
      <w:pPr>
        <w:pStyle w:val="Heading2"/>
        <w:spacing w:after="160" w:before="320"/>
      </w:pPr>
      <w:r>
        <w:rPr>
          <w:b/>
          <w:bCs/>
          <w:color w:val="2E5C8A"/>
          <w:sz w:val="28"/>
          <w:szCs w:val="28"/>
        </w:rPr>
        <w:t xml:space="preserve">Worked examples</w:t>
      </w:r>
    </w:p>
    <w:p>
      <w:pPr>
        <w:spacing w:after="80" w:before="80" w:line="300"/>
      </w:pPr>
      <w:r>
        <w:rPr>
          <w:sz w:val="22"/>
          <w:szCs w:val="22"/>
        </w:rPr>
        <w:t xml:space="preserve">The following examples come from real risk data. They illustrate each category of conformance failure and the kind of work needed to address it.</w:t>
      </w:r>
    </w:p>
    <w:p>
      <w:pPr>
        <w:pStyle w:val="Heading3"/>
        <w:spacing w:after="100" w:before="240"/>
      </w:pPr>
      <w:r>
        <w:rPr>
          <w:b/>
          <w:bCs/>
          <w:color w:val="1E2A38"/>
          <w:sz w:val="24"/>
          <w:szCs w:val="24"/>
        </w:rPr>
        <w:t xml:space="preserve">Example 1 — Encoded content: product_type_isda</w:t>
      </w:r>
    </w:p>
    <w:p>
      <w:pPr>
        <w:spacing w:after="80" w:before="80" w:line="300"/>
      </w:pPr>
      <w:r>
        <w:rPr>
          <w:sz w:val="22"/>
          <w:szCs w:val="22"/>
        </w:rPr>
        <w:t xml:space="preserve">Exposure data carries a field of the form "InterestRate:IRSwap" — one column holding both asset class (InterestRate) and product type (IRSwap), separated by a colon. To slice exposure by asset class, every downstream consumer parses the string. Some parse it correctly. Some get edge cases wrong (what happens when there are more than two segments? what about whitespace? what about an unexpected category?).</w:t>
      </w:r>
    </w:p>
    <w:p>
      <w:pPr>
        <w:spacing w:after="80" w:before="80" w:line="300"/>
      </w:pPr>
      <w:r>
        <w:rPr>
          <w:sz w:val="22"/>
          <w:szCs w:val="22"/>
        </w:rPr>
        <w:t xml:space="preserve">The logical model represents this as two distinct attributes — asset_class and product_type — each with its own controlled vocabulary. Splitting the encoded field is a conformance operation, not a cosmetic one. Once split, both attributes are independently slicable and independently governable.</w:t>
      </w:r>
    </w:p>
    <w:p>
      <w:pPr>
        <w:pStyle w:val="Heading3"/>
        <w:spacing w:after="100" w:before="240"/>
      </w:pPr>
      <w:r>
        <w:rPr>
          <w:b/>
          <w:bCs/>
          <w:color w:val="1E2A38"/>
          <w:sz w:val="24"/>
          <w:szCs w:val="24"/>
        </w:rPr>
        <w:t xml:space="preserve">Example 2 — Content: counterparty ratings from multiple agencies</w:t>
      </w:r>
    </w:p>
    <w:p>
      <w:pPr>
        <w:spacing w:after="80" w:before="80" w:line="300"/>
      </w:pPr>
      <w:r>
        <w:rPr>
          <w:sz w:val="22"/>
          <w:szCs w:val="22"/>
        </w:rPr>
        <w:t xml:space="preserve">A vendor extract carries a ratings field with values like "A1/A+/A" — multiple agency ratings bundled with no attribution. Which is Moody's, which is S&amp;P, which is Fitch? Is the order consistent across rows? Is the order consistent across vendors?</w:t>
      </w:r>
    </w:p>
    <w:p>
      <w:pPr>
        <w:spacing w:after="80" w:before="80" w:line="300"/>
      </w:pPr>
      <w:r>
        <w:rPr>
          <w:sz w:val="22"/>
          <w:szCs w:val="22"/>
        </w:rPr>
        <w:t xml:space="preserve">Two downstream applications making decisions on this field can both be reading "A" and treating it as the same thing, when in fact one is using the Moody's-equivalent position and the other is using the S&amp;P. Until the data is split, each rating attributed to its agency, and each agency's rating placed in a separate, named attribute, the data is not conformed. A consumer cannot ask "what is this counterparty's Moody's rating" and get a reliable answer.</w:t>
      </w:r>
    </w:p>
    <w:p>
      <w:pPr>
        <w:pStyle w:val="Heading3"/>
        <w:spacing w:after="100" w:before="240"/>
      </w:pPr>
      <w:r>
        <w:rPr>
          <w:b/>
          <w:bCs/>
          <w:color w:val="1E2A38"/>
          <w:sz w:val="24"/>
          <w:szCs w:val="24"/>
        </w:rPr>
        <w:t xml:space="preserve">Example 3 — Sourcing: CUSIP on a trade</w:t>
      </w:r>
    </w:p>
    <w:p>
      <w:pPr>
        <w:spacing w:after="80" w:before="80" w:line="300"/>
      </w:pPr>
      <w:r>
        <w:rPr>
          <w:sz w:val="22"/>
          <w:szCs w:val="22"/>
        </w:rPr>
        <w:t xml:space="preserve">A trade booked in Calypso carries a CUSIP. The question of where that CUSIP came from has a non-trivial answer. If Security Master held the instrument, Calypso looked it up there. If Security Master did not have it (often the case for newly-traded instruments), the trader entered it by hand at booking time. The CUSIP value looks identical in either case; its reliability is very different.</w:t>
      </w:r>
    </w:p>
    <w:p>
      <w:pPr>
        <w:spacing w:after="80" w:before="80" w:line="300"/>
      </w:pPr>
      <w:r>
        <w:rPr>
          <w:sz w:val="22"/>
          <w:szCs w:val="22"/>
        </w:rPr>
        <w:t xml:space="preserve">Downstream applications then consume the trade and may apply their own fallback resolution — checking Security Master, then Elypso, then Markit, then Bloomberg. Two applications running different fallback chains can end up with different CUSIP values for the same trade. The trade looks the same; the CUSIP populated against it is different. This is not visible without an explicit declaration of which source supplied the value for each application.</w:t>
      </w:r>
    </w:p>
    <w:p>
      <w:pPr>
        <w:pStyle w:val="Heading3"/>
        <w:spacing w:after="100" w:before="240"/>
      </w:pPr>
      <w:r>
        <w:rPr>
          <w:b/>
          <w:bCs/>
          <w:color w:val="1E2A38"/>
          <w:sz w:val="24"/>
          <w:szCs w:val="24"/>
        </w:rPr>
        <w:t xml:space="preserve">Example 4 — Versioning: hierarchies with multiple variants</w:t>
      </w:r>
    </w:p>
    <w:p>
      <w:pPr>
        <w:spacing w:after="80" w:before="80" w:line="300"/>
      </w:pPr>
      <w:r>
        <w:rPr>
          <w:sz w:val="22"/>
          <w:szCs w:val="22"/>
        </w:rPr>
        <w:t xml:space="preserve">Security Master holds an asset-class classification — but it holds multiple variants. The regulatory view groups instruments one way; the trading desk view groups them another. Both are legitimate; the business genuinely looks at the same instruments through different lenses for different purposes.</w:t>
      </w:r>
    </w:p>
    <w:p>
      <w:pPr>
        <w:spacing w:after="80" w:before="80" w:line="300"/>
      </w:pPr>
      <w:r>
        <w:rPr>
          <w:sz w:val="22"/>
          <w:szCs w:val="22"/>
        </w:rPr>
        <w:t xml:space="preserve">Conformance here is not about choosing one variant. It is about declaring which variant each consumer is using and binding to it explicitly. Two applications reporting "by asset class" can produce different numbers if one is bound to the regulatory variant and the other to the trading variant — and neither would be wrong. The conformance work is making the binding explicit so the divergence is understood.</w:t>
      </w:r>
    </w:p>
    <w:p>
      <w:pPr>
        <w:pStyle w:val="Heading2"/>
        <w:spacing w:after="160" w:before="320"/>
      </w:pPr>
      <w:r>
        <w:rPr>
          <w:b/>
          <w:bCs/>
          <w:color w:val="2E5C8A"/>
          <w:sz w:val="28"/>
          <w:szCs w:val="28"/>
        </w:rPr>
        <w:t xml:space="preserve">Attribute-level sourcing — the next layer</w:t>
      </w:r>
    </w:p>
    <w:p>
      <w:pPr>
        <w:spacing w:after="80" w:before="80" w:line="300"/>
      </w:pPr>
      <w:r>
        <w:rPr>
          <w:sz w:val="22"/>
          <w:szCs w:val="22"/>
        </w:rPr>
        <w:t xml:space="preserve">The Risk Data Catalog captures source-to-application relationships. What it does not yet capture is the next layer of detail: which specific attributes each application consumes from each source. The catalog says "CMOS consumes from Calypso CPG." It does not yet say "CMOS gets trade_id, notional, currency, and counterparty_code from Calypso, but gets CUSIP from Security Master with fallback to Elypso, and gets counterparty rating from Bloomberg with fallback to internal credit rating."</w:t>
      </w:r>
    </w:p>
    <w:p>
      <w:pPr>
        <w:spacing w:after="80" w:before="80" w:line="300"/>
      </w:pPr>
      <w:r>
        <w:rPr>
          <w:sz w:val="22"/>
          <w:szCs w:val="22"/>
        </w:rPr>
        <w:t xml:space="preserve">This attribute-level mapping is the layer where conformance becomes verifiable. Without it, the questions that consumers actually have — "do CMOS and ALFA mean the same thing by counterparty rating?" — cannot be answered from the catalog alone.</w:t>
      </w:r>
    </w:p>
    <w:p>
      <w:pPr>
        <w:pStyle w:val="Heading3"/>
        <w:spacing w:after="100" w:before="240"/>
      </w:pPr>
      <w:r>
        <w:rPr>
          <w:b/>
          <w:bCs/>
          <w:color w:val="1E2A38"/>
          <w:sz w:val="24"/>
          <w:szCs w:val="24"/>
        </w:rPr>
        <w:t xml:space="preserve">Why this layer is not broadly populated yet</w:t>
      </w:r>
    </w:p>
    <w:p>
      <w:pPr>
        <w:spacing w:after="80" w:before="80" w:line="300"/>
      </w:pPr>
      <w:r>
        <w:rPr>
          <w:sz w:val="22"/>
          <w:szCs w:val="22"/>
        </w:rPr>
        <w:t xml:space="preserve">Attribute-level sourcing is more demanding to capture than source-level information. The mapping often lives only in working code or in SQL queries written years ago. Reconstructing it after the fact requires looking inside applications — sometimes by the original authors, sometimes not, sometimes with the knowledge no longer in the team. It also takes time per application, and competes against operational work.</w:t>
      </w:r>
    </w:p>
    <w:p>
      <w:pPr>
        <w:spacing w:after="80" w:before="80" w:line="300"/>
      </w:pPr>
      <w:r>
        <w:rPr>
          <w:sz w:val="22"/>
          <w:szCs w:val="22"/>
        </w:rPr>
        <w:t xml:space="preserve">This is acknowledged. The expectation is not that every application maps every attribute on day one.</w:t>
      </w:r>
    </w:p>
    <w:p>
      <w:pPr>
        <w:pStyle w:val="Heading3"/>
        <w:spacing w:after="100" w:before="240"/>
      </w:pPr>
      <w:r>
        <w:rPr>
          <w:b/>
          <w:bCs/>
          <w:color w:val="1E2A38"/>
          <w:sz w:val="24"/>
          <w:szCs w:val="24"/>
        </w:rPr>
        <w:t xml:space="preserve">A tractable starting point</w:t>
      </w:r>
    </w:p>
    <w:p>
      <w:pPr>
        <w:spacing w:after="80" w:before="80" w:line="300"/>
      </w:pPr>
      <w:r>
        <w:rPr>
          <w:sz w:val="22"/>
          <w:szCs w:val="22"/>
        </w:rPr>
        <w:t xml:space="preserve">A practical first scope is the attributes that appear in each application's published outputs — its reports and distributed extracts. These are the values consumers are already relying on. They form a bounded set: rather than inventorying everything the application consumes internally, the scope is just the attributes that leave the application as published data.</w:t>
      </w:r>
    </w:p>
    <w:p>
      <w:pPr>
        <w:spacing w:after="80" w:before="80" w:line="300"/>
      </w:pPr>
      <w:r>
        <w:rPr>
          <w:sz w:val="22"/>
          <w:szCs w:val="22"/>
        </w:rPr>
        <w:t xml:space="preserve">For CMOS, this would be the columns in Daily Exposure, Disputes, Settlements, Trades, and the Collateral Domain JSON. Each one gets a source declaration: where did this value originate, with what fallback rules, after what transformations. The scope is bounded by the published outputs, not by the application's full data 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8F5B" w:sz="24"/>
              <w:bottom w:val="none" w:color="FFFFFF" w:sz="0"/>
              <w:right w:val="none" w:color="FFFFFF" w:sz="0"/>
            </w:tcBorders>
            <w:shd w:fill="E7F4EC" w:val="clear"/>
            <w:tcMar>
              <w:top w:type="dxa" w:w="180"/>
              <w:left w:type="dxa" w:w="260"/>
              <w:bottom w:type="dxa" w:w="180"/>
              <w:right w:type="dxa" w:w="200"/>
            </w:tcMar>
          </w:tcPr>
          <w:p>
            <w:pPr>
              <w:spacing w:after="40" w:before="40" w:line="300"/>
            </w:pPr>
            <w:r>
              <w:rPr>
                <w:b/>
                <w:bCs/>
                <w:sz w:val="22"/>
                <w:szCs w:val="22"/>
              </w:rPr>
              <w:t xml:space="preserve">The reframing: </w:t>
            </w:r>
            <w:r>
              <w:rPr>
                <w:sz w:val="22"/>
                <w:szCs w:val="22"/>
              </w:rPr>
              <w:t xml:space="preserve">attribute-level sourcing is not a documentation chore. It is the binding link between data that </w:t>
            </w:r>
            <w:r>
              <w:rPr>
                <w:b/>
                <w:bCs/>
                <w:sz w:val="22"/>
                <w:szCs w:val="22"/>
              </w:rPr>
              <w:t xml:space="preserve">looks the same</w:t>
            </w:r>
            <w:r>
              <w:rPr>
                <w:sz w:val="22"/>
                <w:szCs w:val="22"/>
              </w:rPr>
              <w:t xml:space="preserve"> and data that </w:t>
            </w:r>
            <w:r>
              <w:rPr>
                <w:b/>
                <w:bCs/>
                <w:sz w:val="22"/>
                <w:szCs w:val="22"/>
              </w:rPr>
              <w:t xml:space="preserve">means the same</w:t>
            </w:r>
            <w:r>
              <w:rPr>
                <w:sz w:val="22"/>
                <w:szCs w:val="22"/>
              </w:rPr>
              <w:t xml:space="preserve">. Without it, conformance cannot be verified for any attribute that exists in more than one application — which is most of them.</w:t>
            </w:r>
          </w:p>
        </w:tc>
      </w:tr>
    </w:tbl>
    <w:p>
      <w:pPr>
        <w:pStyle w:val="Heading2"/>
        <w:spacing w:after="160" w:before="320"/>
      </w:pPr>
      <w:r>
        <w:rPr>
          <w:b/>
          <w:bCs/>
          <w:color w:val="2E5C8A"/>
          <w:sz w:val="28"/>
          <w:szCs w:val="28"/>
        </w:rPr>
        <w:t xml:space="preserve">The sourcing contract</w:t>
      </w:r>
    </w:p>
    <w:p>
      <w:pPr>
        <w:spacing w:after="80" w:before="80" w:line="300"/>
      </w:pPr>
      <w:r>
        <w:rPr>
          <w:sz w:val="22"/>
          <w:szCs w:val="22"/>
        </w:rPr>
        <w:t xml:space="preserve">Bringing the elements together, the sourcing contract for an application has two parts: what the Risk Data Catalog already holds at source level, and what gets added at attribute level for each published output.</w:t>
      </w:r>
    </w:p>
    <w:p>
      <w:pPr>
        <w:pStyle w:val="Heading3"/>
        <w:spacing w:after="100" w:before="240"/>
      </w:pPr>
      <w:r>
        <w:rPr>
          <w:b/>
          <w:bCs/>
          <w:color w:val="1E2A38"/>
          <w:sz w:val="24"/>
          <w:szCs w:val="24"/>
        </w:rPr>
        <w:t xml:space="preserve">Already captured per source-application pair (in the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Field</w:t>
            </w:r>
          </w:p>
        </w:tc>
        <w:tc>
          <w:tcPr>
            <w:tcW w:type="dxa" w:w="40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What is recorded</w:t>
            </w:r>
          </w:p>
        </w:tc>
        <w:tc>
          <w:tcPr>
            <w:tcW w:type="dxa" w:w="316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Example</w:t>
            </w:r>
          </w:p>
        </w:tc>
      </w:tr>
      <w:tr>
        <w:tc>
          <w:tcPr>
            <w:tcW w:type="dxa" w:w="22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Source system</w:t>
            </w:r>
          </w:p>
        </w:tc>
        <w:tc>
          <w:tcPr>
            <w:tcW w:type="dxa" w:w="4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The upstream system the application consumes from</w:t>
            </w:r>
          </w:p>
        </w:tc>
        <w:tc>
          <w:tcPr>
            <w:tcW w:type="dxa" w:w="31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Calypso CPG / Murex Global FX / Security Master</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Distribution platform</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Where and how the data is exposed</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VenomMessageBus on Solace queue</w:t>
            </w:r>
          </w:p>
        </w:tc>
      </w:tr>
      <w:tr>
        <w:tc>
          <w:tcPr>
            <w:tcW w:type="dxa" w:w="22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Consumption mode</w:t>
            </w:r>
          </w:p>
        </w:tc>
        <w:tc>
          <w:tcPr>
            <w:tcW w:type="dxa" w:w="4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How the application receives the data</w:t>
            </w:r>
          </w:p>
        </w:tc>
        <w:tc>
          <w:tcPr>
            <w:tcW w:type="dxa" w:w="31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Realtime, daily file, on-demand API</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Data freshness</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Cadence of refresh</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Realtime / EOD / weekly</w:t>
            </w:r>
          </w:p>
        </w:tc>
      </w:tr>
      <w:tr>
        <w:tc>
          <w:tcPr>
            <w:tcW w:type="dxa" w:w="22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Asset class scope</w:t>
            </w:r>
          </w:p>
        </w:tc>
        <w:tc>
          <w:tcPr>
            <w:tcW w:type="dxa" w:w="4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Which products the source covers</w:t>
            </w:r>
          </w:p>
        </w:tc>
        <w:tc>
          <w:tcPr>
            <w:tcW w:type="dxa" w:w="31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Equities, FX, Rates/FI</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Internal / external</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Origin of the source</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TD Internal / External Vendor</w:t>
            </w:r>
          </w:p>
        </w:tc>
      </w:tr>
    </w:tbl>
    <w:p>
      <w:pPr>
        <w:pStyle w:val="Heading3"/>
        <w:spacing w:after="100" w:before="240"/>
      </w:pPr>
      <w:r>
        <w:rPr>
          <w:b/>
          <w:bCs/>
          <w:color w:val="1E2A38"/>
          <w:sz w:val="24"/>
          <w:szCs w:val="24"/>
        </w:rPr>
        <w:t xml:space="preserve">To be added per published output (the next increment)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Field</w:t>
            </w:r>
          </w:p>
        </w:tc>
        <w:tc>
          <w:tcPr>
            <w:tcW w:type="dxa" w:w="40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What is recorded</w:t>
            </w:r>
          </w:p>
        </w:tc>
        <w:tc>
          <w:tcPr>
            <w:tcW w:type="dxa" w:w="316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Example</w:t>
            </w:r>
          </w:p>
        </w:tc>
      </w:tr>
      <w:tr>
        <w:tc>
          <w:tcPr>
            <w:tcW w:type="dxa" w:w="22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Attribute-to-source mapping</w:t>
            </w:r>
          </w:p>
        </w:tc>
        <w:tc>
          <w:tcPr>
            <w:tcW w:type="dxa" w:w="4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For each attribute in the output, which source supplied it</w:t>
            </w:r>
          </w:p>
        </w:tc>
        <w:tc>
          <w:tcPr>
            <w:tcW w:type="dxa" w:w="31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counterparty_code → Calypso; rating → Bloomberg</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Fallback rules</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Ordered chain of sources used when the primary returns no value</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CUSIP: Security Master → Elypso → Markit → Bloomberg</w:t>
            </w:r>
          </w:p>
        </w:tc>
      </w:tr>
      <w:tr>
        <w:tc>
          <w:tcPr>
            <w:tcW w:type="dxa" w:w="22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Transformations applied</w:t>
            </w:r>
          </w:p>
        </w:tc>
        <w:tc>
          <w:tcPr>
            <w:tcW w:type="dxa" w:w="4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Any rules between consuming and publishing</w:t>
            </w:r>
          </w:p>
        </w:tc>
        <w:tc>
          <w:tcPr>
            <w:tcW w:type="dxa" w:w="31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Splits product_type_isda on colon; maps vendor rating to internal scale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Variant selection</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Where the source has multiple hierarchies or classifications, which one is bound</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Uses asset class hierarchy variant B</w:t>
            </w:r>
          </w:p>
        </w:tc>
      </w:tr>
      <w:tr>
        <w:tc>
          <w:tcPr>
            <w:tcW w:type="dxa" w:w="22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Conflict resolution</w:t>
            </w:r>
          </w:p>
        </w:tc>
        <w:tc>
          <w:tcPr>
            <w:tcW w:type="dxa" w:w="4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When two sources supply the same value, how the disagreement is resolved</w:t>
            </w:r>
          </w:p>
        </w:tc>
        <w:tc>
          <w:tcPr>
            <w:tcW w:type="dxa" w:w="31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Prefer Bloomberg; flag mismatch if Reuters value differs by more than 5%</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Effective dating</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Whether the value is point-in-time, latest-known, or otherwise time-bound</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Latest known as of the previous business day's close</w:t>
            </w:r>
          </w:p>
        </w:tc>
      </w:tr>
    </w:tbl>
    <w:p>
      <w:pPr>
        <w:spacing w:after="80" w:before="80" w:line="300"/>
      </w:pPr>
      <w:r>
        <w:rPr>
          <w:sz w:val="22"/>
          <w:szCs w:val="22"/>
        </w:rPr>
        <w:t xml:space="preserve">These two tables, taken together, describe the full sourcing contract for an application's outputs. The first is largely in place via the catalog. The second is the work ahead.</w:t>
      </w:r>
    </w:p>
    <w:p>
      <w:pPr>
        <w:spacing w:after="40" w:before="40"/>
      </w:pPr>
      <w:r>
        <w:rPr>
          <w:sz w:val="22"/>
          <w:szCs w:val="22"/>
        </w:rPr>
        <w:t xml:space="preserve">🛠 </w:t>
      </w:r>
      <w:r>
        <w:rPr>
          <w:i/>
          <w:iCs/>
          <w:color w:val="2E5C8A"/>
          <w:sz w:val="22"/>
          <w:szCs w:val="22"/>
        </w:rPr>
        <w:t xml:space="preserve">[Tool link to attach in Confluence: Risk Data Catalog — current state]</w:t>
      </w:r>
    </w:p>
    <w:p>
      <w:pPr>
        <w:pStyle w:val="Heading2"/>
        <w:spacing w:after="160" w:before="320"/>
      </w:pPr>
      <w:r>
        <w:rPr>
          <w:b/>
          <w:bCs/>
          <w:color w:val="2E5C8A"/>
          <w:sz w:val="28"/>
          <w:szCs w:val="28"/>
        </w:rPr>
        <w:t xml:space="preserve">Where this is starting</w:t>
      </w:r>
    </w:p>
    <w:p>
      <w:pPr>
        <w:spacing w:after="80" w:before="80" w:line="300"/>
      </w:pPr>
      <w:r>
        <w:rPr>
          <w:sz w:val="22"/>
          <w:szCs w:val="22"/>
        </w:rPr>
        <w:t xml:space="preserve">The conformance work is not a greenfield exercise. Several elements are in place or in motion:</w:t>
      </w:r>
    </w:p>
    <w:p>
      <w:pPr>
        <w:pStyle w:val="ListParagraph"/>
        <w:numPr>
          <w:ilvl w:val="0"/>
          <w:numId w:val="2"/>
        </w:numPr>
        <w:spacing w:after="40" w:before="40" w:line="280"/>
      </w:pPr>
      <w:r>
        <w:rPr>
          <w:b/>
          <w:bCs/>
          <w:sz w:val="22"/>
          <w:szCs w:val="22"/>
        </w:rPr>
        <w:t xml:space="preserve">The Risk Data Catalog </w:t>
      </w:r>
      <w:r>
        <w:rPr>
          <w:sz w:val="22"/>
          <w:szCs w:val="22"/>
        </w:rPr>
        <w:t xml:space="preserve">records source-level relationships for the risk estate across product groups.</w:t>
      </w:r>
    </w:p>
    <w:p>
      <w:pPr>
        <w:pStyle w:val="ListParagraph"/>
        <w:numPr>
          <w:ilvl w:val="0"/>
          <w:numId w:val="2"/>
        </w:numPr>
        <w:spacing w:after="40" w:before="40" w:line="280"/>
      </w:pPr>
      <w:r>
        <w:rPr>
          <w:b/>
          <w:bCs/>
          <w:sz w:val="22"/>
          <w:szCs w:val="22"/>
        </w:rPr>
        <w:t xml:space="preserve">The CCR / Collateral analytics work </w:t>
      </w:r>
      <w:r>
        <w:rPr>
          <w:sz w:val="22"/>
          <w:szCs w:val="22"/>
        </w:rPr>
        <w:t xml:space="preserve">exposes concrete examples of where conformance gaps surface in cross-application analytics — for instance, the Central 1 counterparty named three ways across files within CMOS, described on the main page.</w:t>
      </w:r>
    </w:p>
    <w:p>
      <w:pPr>
        <w:pStyle w:val="ListParagraph"/>
        <w:numPr>
          <w:ilvl w:val="0"/>
          <w:numId w:val="2"/>
        </w:numPr>
        <w:spacing w:after="40" w:before="40" w:line="280"/>
      </w:pPr>
      <w:r>
        <w:rPr>
          <w:b/>
          <w:bCs/>
          <w:sz w:val="22"/>
          <w:szCs w:val="22"/>
        </w:rPr>
        <w:t xml:space="preserve">The enterprise canonical data model effort </w:t>
      </w:r>
      <w:r>
        <w:rPr>
          <w:sz w:val="22"/>
          <w:szCs w:val="22"/>
        </w:rPr>
        <w:t xml:space="preserve">addresses cross-domain entities — Trade, Security Master, Party Master, Account. Risk contributes to these and does not duplicate them.</w:t>
      </w:r>
    </w:p>
    <w:p>
      <w:pPr>
        <w:pStyle w:val="ListParagraph"/>
        <w:numPr>
          <w:ilvl w:val="0"/>
          <w:numId w:val="2"/>
        </w:numPr>
        <w:spacing w:after="40" w:before="40" w:line="280"/>
      </w:pPr>
      <w:r>
        <w:rPr>
          <w:b/>
          <w:bCs/>
          <w:sz w:val="22"/>
          <w:szCs w:val="22"/>
        </w:rPr>
        <w:t xml:space="preserve">Within risk, </w:t>
      </w:r>
      <w:r>
        <w:rPr>
          <w:sz w:val="22"/>
          <w:szCs w:val="22"/>
        </w:rPr>
        <w:t xml:space="preserve">product groups can begin within-group conformance conversations without waiting for the wider enterprise work. The companion strategy sub-page describes this in detail.</w:t>
      </w:r>
    </w:p>
    <w:p>
      <w:pPr>
        <w:spacing w:after="80" w:before="80" w:line="300"/>
      </w:pPr>
      <w:r>
        <w:rPr>
          <w:sz w:val="22"/>
          <w:szCs w:val="22"/>
        </w:rPr>
        <w:t xml:space="preserve">The conformance work extends the catalog by adding the attribute-level mapping and the rules layer described above. Each step is incremental; none requires a rebuild.</w:t>
      </w:r>
    </w:p>
    <w:p>
      <w:pPr>
        <w:spacing w:after="40" w:before="40"/>
      </w:pPr>
      <w:r>
        <w:rPr>
          <w:sz w:val="22"/>
          <w:szCs w:val="22"/>
        </w:rPr>
        <w:t xml:space="preserve">🛠 </w:t>
      </w:r>
      <w:r>
        <w:rPr>
          <w:i/>
          <w:iCs/>
          <w:color w:val="2E5C8A"/>
          <w:sz w:val="22"/>
          <w:szCs w:val="22"/>
        </w:rPr>
        <w:t xml:space="preserve">[Tool link to attach in Confluence: A working strategy for starting (sub-page)]</w:t>
      </w:r>
    </w:p>
    <w:p>
      <w:pPr>
        <w:pStyle w:val="Heading2"/>
        <w:spacing w:after="160" w:before="320"/>
      </w:pPr>
      <w:r>
        <w:rPr>
          <w:b/>
          <w:bCs/>
          <w:color w:val="2E5C8A"/>
          <w:sz w:val="28"/>
          <w:szCs w:val="28"/>
        </w:rPr>
        <w:t xml:space="preserve">Related pages</w:t>
      </w:r>
    </w:p>
    <w:p>
      <w:pPr>
        <w:spacing w:after="40" w:before="40"/>
      </w:pPr>
      <w:r>
        <w:rPr>
          <w:sz w:val="22"/>
          <w:szCs w:val="22"/>
        </w:rPr>
        <w:t xml:space="preserve">🛠 </w:t>
      </w:r>
      <w:r>
        <w:rPr>
          <w:i/>
          <w:iCs/>
          <w:color w:val="2E5C8A"/>
          <w:sz w:val="22"/>
          <w:szCs w:val="22"/>
        </w:rPr>
        <w:t xml:space="preserve">[Tool link to attach in Confluence: Data Modelling for Risk (parent page)]</w:t>
      </w:r>
    </w:p>
    <w:p>
      <w:pPr>
        <w:spacing w:after="40" w:before="40"/>
      </w:pPr>
      <w:r>
        <w:rPr>
          <w:sz w:val="22"/>
          <w:szCs w:val="22"/>
        </w:rPr>
        <w:t xml:space="preserve">🛠 </w:t>
      </w:r>
      <w:r>
        <w:rPr>
          <w:i/>
          <w:iCs/>
          <w:color w:val="2E5C8A"/>
          <w:sz w:val="22"/>
          <w:szCs w:val="22"/>
        </w:rPr>
        <w:t xml:space="preserve">[Tool link to attach in Confluence: How the data contract gets built (sub-page)]</w:t>
      </w:r>
    </w:p>
    <w:p>
      <w:pPr>
        <w:spacing w:after="40" w:before="40"/>
      </w:pPr>
      <w:r>
        <w:rPr>
          <w:sz w:val="22"/>
          <w:szCs w:val="22"/>
        </w:rPr>
        <w:t xml:space="preserve">🛠 </w:t>
      </w:r>
      <w:r>
        <w:rPr>
          <w:i/>
          <w:iCs/>
          <w:color w:val="2E5C8A"/>
          <w:sz w:val="22"/>
          <w:szCs w:val="22"/>
        </w:rPr>
        <w:t xml:space="preserve">[Tool link to attach in Confluence: From query-based to model-based consumption (sub-page)]</w:t>
      </w:r>
    </w:p>
    <w:p>
      <w:pPr>
        <w:spacing w:after="40" w:before="40"/>
      </w:pPr>
      <w:r>
        <w:rPr>
          <w:sz w:val="22"/>
          <w:szCs w:val="22"/>
        </w:rPr>
        <w:t xml:space="preserve">🛠 </w:t>
      </w:r>
      <w:r>
        <w:rPr>
          <w:i/>
          <w:iCs/>
          <w:color w:val="2E5C8A"/>
          <w:sz w:val="22"/>
          <w:szCs w:val="22"/>
        </w:rPr>
        <w:t xml:space="preserve">[Tool link to attach in Confluence: A working strategy for starting (sub-page)]</w:t>
      </w:r>
    </w:p>
    <w:p>
      <w:pPr>
        <w:spacing w:after="40" w:before="40"/>
      </w:pPr>
      <w:r>
        <w:rPr>
          <w:sz w:val="22"/>
          <w:szCs w:val="22"/>
        </w:rPr>
        <w:t xml:space="preserve">🛠 </w:t>
      </w:r>
      <w:r>
        <w:rPr>
          <w:i/>
          <w:iCs/>
          <w:color w:val="2E5C8A"/>
          <w:sz w:val="22"/>
          <w:szCs w:val="22"/>
        </w:rPr>
        <w:t xml:space="preserve">[Tool link to attach in Confluence: Risk Data Catalog]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320"/>
      <w:outlineLvl w:val="1"/>
    </w:pPr>
    <w:rPr>
      <w:rFonts w:ascii="Arial" w:cs="Arial" w:eastAsia="Arial" w:hAnsi="Arial"/>
      <w:b/>
      <w:bCs/>
      <w:color w:val="2E5C8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E2A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2026-05-21T11:58:21.026Z</dcterms:created>
  <dcterms:modified xsi:type="dcterms:W3CDTF">2026-05-21T11:58:21.045Z</dcterms:modified>
</cp:coreProperties>
</file>

<file path=docProps/custom.xml><?xml version="1.0" encoding="utf-8"?>
<Properties xmlns="http://schemas.openxmlformats.org/officeDocument/2006/custom-properties" xmlns:vt="http://schemas.openxmlformats.org/officeDocument/2006/docPropsVTypes"/>
</file>