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5D2C"/>
          <w:sz w:val="40"/>
          <w:szCs w:val="40"/>
        </w:rPr>
        <w:t xml:space="preserve">Data Product Canvas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B6B7D"/>
          <w:sz w:val="20"/>
          <w:szCs w:val="20"/>
        </w:rPr>
        <w:t xml:space="preserve">Workshop-style one-page design view for one data product. Sits on the Confluence Products page as a sub-page.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D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D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D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5D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2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Exposure by Counterparty</w:t>
            </w:r>
          </w:p>
        </w:tc>
        <w:tc>
          <w:tcPr>
            <w:tcW w:type="dxa" w:w="2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Active</w:t>
            </w:r>
          </w:p>
        </w:tc>
        <w:tc>
          <w:tcPr>
            <w:tcW w:type="dxa" w:w="2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1.0.0</w:t>
            </w:r>
          </w:p>
        </w:tc>
        <w:tc>
          <w:tcPr>
            <w:tcW w:type="dxa" w:w="2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Counterparty Credit Risk</w:t>
            </w:r>
          </w:p>
        </w:tc>
      </w:tr>
    </w:tbl>
    <w:p>
      <w:pPr>
        <w:pBdr>
          <w:left w:val="single" w:color="1A5D2C" w:sz="24" w:space="8"/>
        </w:pBdr>
        <w:shd w:fill="EAF6EE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1A5D2C"/>
          <w:sz w:val="22"/>
          <w:szCs w:val="22"/>
        </w:rPr>
        <w:t xml:space="preserve">Summary.  </w:t>
      </w:r>
      <w:r>
        <w:rPr>
          <w:rFonts w:ascii="Arial" w:cs="Arial" w:eastAsia="Arial" w:hAnsi="Arial"/>
          <w:color w:val="1A5D2C"/>
          <w:sz w:val="22"/>
          <w:szCs w:val="22"/>
        </w:rPr>
        <w:t xml:space="preserve">A daily consumer-facing view supporting Counterparty Credit Risk reporting. Combines three upstream exposure facts (direct, indirect, CCR line) into one comparable number per counterparty per business date.</w:t>
      </w:r>
    </w:p>
    <w:p>
      <w:pPr>
        <w:pBdr>
          <w:bottom w:val="single" w:color="1A5D2C" w:sz="8" w:space="4"/>
        </w:pBdr>
        <w:shd w:fill="F4FBF7" w:val="clear"/>
        <w:spacing w:after="120" w:before="240"/>
      </w:pPr>
      <w:r>
        <w:rPr>
          <w:rFonts w:ascii="Arial" w:cs="Arial" w:eastAsia="Arial" w:hAnsi="Arial"/>
          <w:b/>
          <w:bCs/>
          <w:color w:val="1A5D2C"/>
          <w:sz w:val="26"/>
          <w:szCs w:val="26"/>
        </w:rPr>
        <w:t xml:space="preserve">Canvas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Domain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credit_risk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B7D"/>
                <w:sz w:val="20"/>
                <w:szCs w:val="20"/>
              </w:rPr>
              <w:t xml:space="preserve">(TD risk LOB that owns this product.)</w:t>
            </w:r>
          </w:p>
        </w:tc>
        <w:tc>
          <w:tcPr>
            <w:tcW w:type="dxa" w:w="50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Data Product Name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8"/>
                <w:sz w:val="20"/>
                <w:szCs w:val="20"/>
              </w:rPr>
              <w:t xml:space="preserve">exposure_by_counterparty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B7D"/>
                <w:sz w:val="20"/>
                <w:szCs w:val="20"/>
              </w:rPr>
              <w:t xml:space="preserve">(Stable ID. Display name: “Exposure by Counterparty”.)</w:t>
            </w:r>
          </w:p>
        </w:tc>
      </w:tr>
      <w:tr>
        <w:tc>
          <w:tcPr>
            <w:tcW w:type="dxa" w:w="10080"/>
            <w:gridSpan w:val="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Consumer &amp; Use Case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Counterparty Credit Risk Reporting team. Daily monitoring of total exposure per counterparty; concentration analysis; limit-utilization views.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→ </w:t>
            </w:r>
            <w:hyperlink w:history="1" r:id="rId0naohonrcjgqgu-zdhp0m">
              <w:r>
                <w:rPr>
                  <w:rFonts w:ascii="Arial" w:cs="Arial" w:eastAsia="Arial" w:hAnsi="Arial"/>
                  <w:color w:val="2E5C8A"/>
                  <w:sz w:val="20"/>
                  <w:szCs w:val="20"/>
                  <w:u w:val="single"/>
                </w:rPr>
                <w:t xml:space="preserve">Business Intake — full requirements (Excel in Teams)</w:t>
              </w:r>
            </w:hyperlink>
          </w:p>
        </w:tc>
      </w:tr>
      <w:tr>
        <w:tc>
          <w:tcPr>
            <w:tcW w:type="dxa" w:w="10080"/>
            <w:gridSpan w:val="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Data Contract — output ports &amp; interface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Grain: one row per counterparty per business date.  ·  Refresh: daily by 07:00 EST.  ·  Format: materialized view in risk_warehouse.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B7D"/>
                <w:sz w:val="20"/>
                <w:szCs w:val="20"/>
              </w:rPr>
              <w:t xml:space="preserve">Headline measure: total_exposure_amount (semi-additive — safe across dates, NOT across counterparties without the limit framework).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→ </w:t>
            </w:r>
            <w:hyperlink w:history="1" r:id="rId2arjxryacyur5ayzahrtm">
              <w:r>
                <w:rPr>
                  <w:rFonts w:ascii="Arial" w:cs="Arial" w:eastAsia="Arial" w:hAnsi="Arial"/>
                  <w:color w:val="2E5C8A"/>
                  <w:sz w:val="20"/>
                  <w:szCs w:val="20"/>
                  <w:u w:val="single"/>
                </w:rPr>
                <w:t xml:space="preserve">v8 YAML contract in Git</w:t>
              </w:r>
            </w:hyperlink>
          </w:p>
        </w:tc>
      </w:tr>
      <w:tr>
        <w:tc>
          <w:tcPr>
            <w:tcW w:type="dxa" w:w="10080"/>
            <w:gridSpan w:val="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Sources — input ports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Composes three upstream foundational facts:</w:t>
            </w:r>
          </w:p>
          <w:p>
            <w:pPr>
              <w:spacing w:after="30" w:before="30"/>
              <w:ind w:left="180"/>
            </w:pPr>
            <w:r>
              <w:rPr>
                <w:rFonts w:ascii="Arial" w:cs="Arial" w:eastAsia="Arial" w:hAnsi="Arial"/>
                <w:b/>
                <w:bCs/>
                <w:color w:val="1A5D2C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2"/>
                <w:szCs w:val="22"/>
              </w:rPr>
              <w:t xml:space="preserve">fact_direct_exposure</w:t>
            </w:r>
          </w:p>
          <w:p>
            <w:pPr>
              <w:spacing w:after="30" w:before="30"/>
              <w:ind w:left="180"/>
            </w:pPr>
            <w:r>
              <w:rPr>
                <w:rFonts w:ascii="Arial" w:cs="Arial" w:eastAsia="Arial" w:hAnsi="Arial"/>
                <w:b/>
                <w:bCs/>
                <w:color w:val="1A5D2C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2"/>
                <w:szCs w:val="22"/>
              </w:rPr>
              <w:t xml:space="preserve">fact_indirect_exposure</w:t>
            </w:r>
          </w:p>
          <w:p>
            <w:pPr>
              <w:spacing w:after="30" w:before="30"/>
              <w:ind w:left="180"/>
            </w:pPr>
            <w:r>
              <w:rPr>
                <w:rFonts w:ascii="Arial" w:cs="Arial" w:eastAsia="Arial" w:hAnsi="Arial"/>
                <w:b/>
                <w:bCs/>
                <w:color w:val="1A5D2C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2"/>
                <w:szCs w:val="22"/>
              </w:rPr>
              <w:t xml:space="preserve">fact_ccr_line_exposure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B7D"/>
                <w:sz w:val="20"/>
                <w:szCs w:val="20"/>
              </w:rPr>
              <w:t xml:space="preserve">Plus conformed reference data: counterparty_hierarchy, fx_rate (see Sources Mapping section below for full intake-to-CDM translation).</w:t>
            </w:r>
          </w:p>
        </w:tc>
      </w:tr>
      <w:tr>
        <w:tc>
          <w:tcPr>
            <w:tcW w:type="dxa" w:w="10080"/>
            <w:gridSpan w:val="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Data Product Architecture — internals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Derived product. Composes the three upstream facts at counterparty + business_date grain, applying counterparty hierarchy for ultimate-parent roll-up and FX conversion to reporting currency.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→ </w:t>
            </w:r>
            <w:hyperlink w:history="1" r:id="rIde4totxcikjypqtxptvq6m">
              <w:r>
                <w:rPr>
                  <w:rFonts w:ascii="Arial" w:cs="Arial" w:eastAsia="Arial" w:hAnsi="Arial"/>
                  <w:color w:val="2E5C8A"/>
                  <w:sz w:val="20"/>
                  <w:szCs w:val="20"/>
                  <w:u w:val="single"/>
                </w:rPr>
                <w:t xml:space="preserve">Engineering / build documentation</w:t>
              </w:r>
            </w:hyperlink>
          </w:p>
        </w:tc>
      </w:tr>
      <w:tr>
        <w:tc>
          <w:tcPr>
            <w:tcW w:type="dxa" w:w="50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Ubiquitous Language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Counterparty  ·  Position  ·  Agreement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Guarantee  ·  Derivative Trade  ·  Netting Set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Direct / Indirect / CCR Line Exposure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B7D"/>
                <w:sz w:val="20"/>
                <w:szCs w:val="20"/>
              </w:rPr>
              <w:t xml:space="preserve">PFE (Potential Future Exposure)</w:t>
            </w:r>
          </w:p>
        </w:tc>
        <w:tc>
          <w:tcPr>
            <w:tcW w:type="dxa" w:w="50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1A5D2C"/>
                <w:sz w:val="18"/>
                <w:szCs w:val="18"/>
              </w:rPr>
              <w:t xml:space="preserve">Classification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Archetype: derived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Sensitivity: confidential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8"/>
                <w:sz w:val="20"/>
                <w:szCs w:val="20"/>
              </w:rPr>
              <w:t xml:space="preserve">PII: false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B7D"/>
                <w:sz w:val="20"/>
                <w:szCs w:val="20"/>
              </w:rPr>
              <w:t xml:space="preserve">(Inherited via highest-of-upstream rule.)</w:t>
            </w:r>
          </w:p>
        </w:tc>
      </w:tr>
    </w:tbl>
    <w:p>
      <w:pPr>
        <w:pBdr>
          <w:bottom w:val="single" w:color="1A5D2C" w:sz="8" w:space="4"/>
        </w:pBdr>
        <w:shd w:fill="F4FBF7" w:val="clear"/>
        <w:spacing w:after="120" w:before="240"/>
      </w:pPr>
      <w:r>
        <w:rPr>
          <w:rFonts w:ascii="Arial" w:cs="Arial" w:eastAsia="Arial" w:hAnsi="Arial"/>
          <w:b/>
          <w:bCs/>
          <w:color w:val="1A5D2C"/>
          <w:sz w:val="26"/>
          <w:szCs w:val="26"/>
        </w:rPr>
        <w:t xml:space="preserve">Sources Mapping  —  intake → CDM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B6B7D"/>
          <w:sz w:val="20"/>
          <w:szCs w:val="20"/>
        </w:rPr>
        <w:t xml:space="preserve">Translates each Business Intake data source into the CDM entity it represents, and notes its conformance state. This is the bridge between business-language sources and the canonical data model.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from Business Intake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CDM Entity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Conformance state</w:t>
            </w:r>
          </w:p>
        </w:tc>
      </w:tr>
      <w:tr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Direct Exposure Daily Pack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Position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Risk Conformed</w:t>
            </w:r>
          </w:p>
        </w:tc>
      </w:tr>
      <w:tr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Indirect Exposure (Guarantees)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Guarantee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Risk Conformed</w:t>
            </w:r>
          </w:p>
        </w:tc>
      </w:tr>
      <w:tr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CCR Line Exposure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Derivative Trade / Netting Set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Risk Conformed</w:t>
            </w:r>
          </w:p>
        </w:tc>
      </w:tr>
      <w:tr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Counterparty Hierarchy Reference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Counterparty (with parent-child relationships)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In progress (gaps for some subsidiaries)</w:t>
            </w:r>
          </w:p>
        </w:tc>
      </w:tr>
      <w:tr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Industry / Sector Classification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Counterparty (sector attribute)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E2A38"/>
                <w:sz w:val="20"/>
                <w:szCs w:val="20"/>
              </w:rPr>
              <w:t xml:space="preserve">Not yet (new source, vendor TBD)</w:t>
            </w:r>
          </w:p>
        </w:tc>
      </w:tr>
    </w:tbl>
    <w:p>
      <w:pPr>
        <w:pBdr>
          <w:bottom w:val="single" w:color="1A5D2C" w:sz="8" w:space="4"/>
        </w:pBdr>
        <w:shd w:fill="F4FBF7" w:val="clear"/>
        <w:spacing w:after="120" w:before="240"/>
      </w:pPr>
      <w:r>
        <w:rPr>
          <w:rFonts w:ascii="Arial" w:cs="Arial" w:eastAsia="Arial" w:hAnsi="Arial"/>
          <w:b/>
          <w:bCs/>
          <w:color w:val="1A5D2C"/>
          <w:sz w:val="26"/>
          <w:szCs w:val="26"/>
        </w:rPr>
        <w:t xml:space="preserve">Status / Change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5760"/>
      </w:tblGrid>
      <w:tr>
        <w:trPr>
          <w:tblHeader/>
        </w:trPr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1.0.0</w:t>
            </w:r>
          </w:p>
        </w:tc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[Date]</w:t>
            </w:r>
          </w:p>
        </w:tc>
        <w:tc>
          <w:tcPr>
            <w:tcW w:type="dxa" w:w="14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Active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A38"/>
                <w:sz w:val="20"/>
                <w:szCs w:val="20"/>
              </w:rPr>
              <w:t xml:space="preserve">Initial publication.</w:t>
            </w:r>
          </w:p>
        </w:tc>
      </w:tr>
    </w:tbl>
    <w:p>
      <w:pPr>
        <w:pBdr>
          <w:bottom w:val="single" w:color="1A5D2C" w:sz="8" w:space="4"/>
        </w:pBdr>
        <w:shd w:fill="F4FBF7" w:val="clear"/>
        <w:spacing w:after="120" w:before="240"/>
      </w:pPr>
      <w:r>
        <w:rPr>
          <w:rFonts w:ascii="Arial" w:cs="Arial" w:eastAsia="Arial" w:hAnsi="Arial"/>
          <w:b/>
          <w:bCs/>
          <w:color w:val="1A5D2C"/>
          <w:sz w:val="26"/>
          <w:szCs w:val="26"/>
        </w:rPr>
        <w:t xml:space="preserve">Links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→  </w:t>
      </w:r>
      <w:hyperlink w:history="1" r:id="rIdkewexrnl12f5tvxu67dn1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Business Intake (Excel in Teams)</w:t>
        </w:r>
      </w:hyperlink>
    </w:p>
    <w:p>
      <w:pPr>
        <w:spacing w:after="30" w:before="3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→  </w:t>
      </w:r>
      <w:hyperlink w:history="1" r:id="rIdbdgqrfojr-ynul0hwwogp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v8 YAML contract in Git</w:t>
        </w:r>
      </w:hyperlink>
    </w:p>
    <w:p>
      <w:pPr>
        <w:spacing w:after="30" w:before="3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→  </w:t>
      </w:r>
      <w:hyperlink w:history="1" r:id="rIdwcz5c0gyj6ur8ilaq9xb7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Engineering / build documentation</w:t>
        </w:r>
      </w:hyperlink>
    </w:p>
    <w:p>
      <w:pPr>
        <w:spacing w:after="30" w:before="3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→  </w:t>
      </w:r>
      <w:hyperlink w:history="1" r:id="rIdqang9qv0hn1c6zqbnzyjx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Onboarding home page</w:t>
        </w:r>
      </w:hyperlink>
    </w:p>
    <w:p>
      <w:pPr>
        <w:spacing w:after="30" w:before="3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→  </w:t>
      </w:r>
      <w:hyperlink w:history="1" r:id="rIdlsvqgfzvqe6bbo2_v1rb9">
        <w:r>
          <w:rPr>
            <w:rFonts w:ascii="Arial" w:cs="Arial" w:eastAsia="Arial" w:hAnsi="Arial"/>
            <w:color w:val="2E5C8A"/>
            <w:sz w:val="22"/>
            <w:szCs w:val="22"/>
            <w:u w:val="single"/>
          </w:rPr>
          <w:t xml:space="preserve">Architecture deck — Missing Link · Composition · Star</w:t>
        </w:r>
      </w:hyperlink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Adapted from the INNOQ Data Product Canvas (CC BY 4.0), extended with TD-specific links to the v8 contract, Business Intake, and Sources Mapping.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naohonrcjgqgu-zdhp0m" Type="http://schemas.openxmlformats.org/officeDocument/2006/relationships/hyperlink" Target="https://[INSERT_LINK_BUSINESS_INTAKE]" TargetMode="External"/><Relationship Id="rId2arjxryacyur5ayzahrtm" Type="http://schemas.openxmlformats.org/officeDocument/2006/relationships/hyperlink" Target="https://[INSERT_LINK_V8_YAML]" TargetMode="External"/><Relationship Id="rIde4totxcikjypqtxptvq6m" Type="http://schemas.openxmlformats.org/officeDocument/2006/relationships/hyperlink" Target="https://[INSERT_LINK_ENGINEERING_DOC]" TargetMode="External"/><Relationship Id="rIdkewexrnl12f5tvxu67dn1" Type="http://schemas.openxmlformats.org/officeDocument/2006/relationships/hyperlink" Target="https://[INSERT_LINK_BUSINESS_INTAKE]" TargetMode="External"/><Relationship Id="rIdbdgqrfojr-ynul0hwwogp" Type="http://schemas.openxmlformats.org/officeDocument/2006/relationships/hyperlink" Target="https://[INSERT_LINK_V8_YAML]" TargetMode="External"/><Relationship Id="rIdwcz5c0gyj6ur8ilaq9xb7" Type="http://schemas.openxmlformats.org/officeDocument/2006/relationships/hyperlink" Target="https://[INSERT_LINK_ENGINEERING_DOC]" TargetMode="External"/><Relationship Id="rIdqang9qv0hn1c6zqbnzyjx" Type="http://schemas.openxmlformats.org/officeDocument/2006/relationships/hyperlink" Target="https://[INSERT_LINK_ONBOARDING_HOME]" TargetMode="External"/><Relationship Id="rIdlsvqgfzvqe6bbo2_v1rb9" Type="http://schemas.openxmlformats.org/officeDocument/2006/relationships/hyperlink" Target="https://[INSERT_LINK_ARCH_DECK]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Product Canvas — Exposure by Counterparty</dc:title>
  <dc:creator>TD Risk Data Platform</dc:creator>
  <dc:description>Workshop-style canvas for one data product, with link references to the Business Intake and v8 contract.</dc:description>
  <cp:lastModifiedBy>Un-named</cp:lastModifiedBy>
  <cp:revision>1</cp:revision>
  <dcterms:created xsi:type="dcterms:W3CDTF">2026-05-25T15:41:54.387Z</dcterms:created>
  <dcterms:modified xsi:type="dcterms:W3CDTF">2026-05-25T15:41:54.387Z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