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none" w:color="FFFFFF" w:sz="0"/>
          <w:left w:val="none" w:color="FFFFFF" w:sz="0"/>
          <w:bottom w:val="single" w:color="1A5D2C" w:sz="24" w:space="4"/>
          <w:right w:val="none" w:color="FFFFFF" w:sz="0"/>
        </w:pBdr>
        <w:spacing w:after="200" w:before="0"/>
      </w:pPr>
      <w:r>
        <w:rPr>
          <w:rFonts w:ascii="Arial" w:cs="Arial" w:eastAsia="Arial" w:hAnsi="Arial"/>
          <w:b/>
          <w:bCs/>
          <w:color w:val="1A5D2C"/>
          <w:sz w:val="40"/>
          <w:szCs w:val="40"/>
        </w:rPr>
        <w:t xml:space="preserve">Onboarding to the Risk Analytics Environment</w:t>
      </w:r>
    </w:p>
    <w:p>
      <w:pPr>
        <w:spacing w:after="200" w:before="0"/>
        <w:jc w:val="left"/>
      </w:pPr>
      <w:r>
        <w:rPr>
          <w:rFonts w:ascii="Arial" w:cs="Arial" w:eastAsia="Arial" w:hAnsi="Arial"/>
          <w:b w:val="false"/>
          <w:bCs w:val="false"/>
          <w:i/>
          <w:iCs/>
          <w:color w:val="5B6B7D"/>
          <w:sz w:val="22"/>
          <w:szCs w:val="22"/>
        </w:rPr>
        <w:t xml:space="preserve">How to bring a business use case — or an application's risk-generated data — into the analytics environment. We're at the start of this journey; this page is the entry point.</w:t>
      </w:r>
    </w:p>
    <w:p>
      <w:pPr>
        <w:pBdr>
          <w:top w:val="single" w:color="EBF2FA" w:sz="2"/>
          <w:left w:val="single" w:color="2E5C8A" w:sz="24" w:space="8"/>
          <w:bottom w:val="single" w:color="EBF2FA" w:sz="2"/>
          <w:right w:val="single" w:color="EBF2FA" w:sz="2"/>
        </w:pBdr>
        <w:shd w:fill="EBF2FA" w:val="clear"/>
        <w:spacing w:after="200" w:before="200"/>
        <w:ind w:left="200"/>
      </w:pPr>
      <w:r>
        <w:rPr>
          <w:rFonts w:ascii="Arial" w:cs="Arial" w:eastAsia="Arial" w:hAnsi="Arial"/>
          <w:b/>
          <w:bCs/>
          <w:color w:val="2E5C8A"/>
          <w:sz w:val="22"/>
          <w:szCs w:val="22"/>
        </w:rPr>
        <w:t xml:space="preserve">Where we are today. </w:t>
      </w:r>
      <w:r>
        <w:rPr>
          <w:rFonts w:ascii="Arial" w:cs="Arial" w:eastAsia="Arial" w:hAnsi="Arial"/>
          <w:color w:val="2E5C8A"/>
          <w:sz w:val="22"/>
          <w:szCs w:val="22"/>
        </w:rPr>
        <w:t xml:space="preserve">The analytics environment has just been stood up. Risk applications are loading their data into application-specific private spaces. The risk_warehouse — the business-facing layer that consumers will query — is not yet in use. This onboarding process is how we get the first business use cases and the first certified data products into that warehouse.</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1A5D2C"/>
          <w:sz w:val="32"/>
          <w:szCs w:val="32"/>
        </w:rPr>
        <w:t xml:space="preserve">How onboarding works — the three streams</w:t>
      </w:r>
    </w:p>
    <w:p>
      <w:pPr>
        <w:spacing w:after="160" w:before="80"/>
        <w:jc w:val="left"/>
      </w:pPr>
      <w:r>
        <w:rPr>
          <w:rFonts w:ascii="Arial" w:cs="Arial" w:eastAsia="Arial" w:hAnsi="Arial"/>
          <w:b w:val="false"/>
          <w:bCs w:val="false"/>
          <w:i w:val="false"/>
          <w:iCs w:val="false"/>
          <w:color w:val="1E2A38"/>
          <w:sz w:val="22"/>
          <w:szCs w:val="22"/>
        </w:rPr>
        <w:t xml:space="preserve">Onboarding has three streams that meet in the middle. The Business describes what they need. The Application teams are continuously preparing their data, conforming entities, and building data products. The Bridge is the business-facing layer — the risk_warehouse — where the finished, conformed, contracted data products live and where the business consumes from.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D0D7DE" w:sz="4"/>
              <w:left w:val="single" w:color="D0D7DE" w:sz="4"/>
              <w:bottom w:val="single" w:color="D0D7DE" w:sz="4"/>
              <w:right w:val="single" w:color="D0D7DE" w:sz="4"/>
            </w:tcBorders>
            <w:shd w:fill="2F8F5B" w:val="clear"/>
            <w:tcMar>
              <w:top w:type="dxa" w:w="120"/>
              <w:left w:type="dxa" w:w="140"/>
              <w:bottom w:type="dxa" w:w="120"/>
              <w:right w:type="dxa" w:w="140"/>
            </w:tcMar>
            <w:vAlign w:val="center"/>
          </w:tcPr>
          <w:p>
            <w:pPr>
              <w:spacing w:after="0" w:before="0"/>
              <w:jc w:val="center"/>
            </w:pPr>
            <w:r>
              <w:rPr>
                <w:rFonts w:ascii="Arial" w:cs="Arial" w:eastAsia="Arial" w:hAnsi="Arial"/>
                <w:b/>
                <w:bCs/>
                <w:color w:val="FFFFFF"/>
                <w:sz w:val="22"/>
                <w:szCs w:val="22"/>
              </w:rPr>
              <w:t xml:space="preserve">BUSINESS</w:t>
            </w:r>
          </w:p>
        </w:tc>
        <w:tc>
          <w:tcPr>
            <w:tcW w:type="dxa" w:w="3360"/>
            <w:tcBorders>
              <w:top w:val="single" w:color="D0D7DE" w:sz="4"/>
              <w:left w:val="single" w:color="D0D7DE" w:sz="4"/>
              <w:bottom w:val="single" w:color="D0D7DE" w:sz="4"/>
              <w:right w:val="single" w:color="D0D7DE" w:sz="4"/>
            </w:tcBorders>
            <w:shd w:fill="5B6B7D" w:val="clear"/>
            <w:tcMar>
              <w:top w:type="dxa" w:w="120"/>
              <w:left w:type="dxa" w:w="140"/>
              <w:bottom w:type="dxa" w:w="120"/>
              <w:right w:type="dxa" w:w="140"/>
            </w:tcMar>
            <w:vAlign w:val="center"/>
          </w:tcPr>
          <w:p>
            <w:pPr>
              <w:spacing w:after="0" w:before="0"/>
              <w:jc w:val="center"/>
            </w:pPr>
            <w:r>
              <w:rPr>
                <w:rFonts w:ascii="Arial" w:cs="Arial" w:eastAsia="Arial" w:hAnsi="Arial"/>
                <w:b/>
                <w:bCs/>
                <w:color w:val="FFFFFF"/>
                <w:sz w:val="22"/>
                <w:szCs w:val="22"/>
              </w:rPr>
              <w:t xml:space="preserve">BRIDGE — risk_warehouse</w:t>
            </w:r>
          </w:p>
        </w:tc>
        <w:tc>
          <w:tcPr>
            <w:tcW w:type="dxa" w:w="3360"/>
            <w:tcBorders>
              <w:top w:val="single" w:color="D0D7DE" w:sz="4"/>
              <w:left w:val="single" w:color="D0D7DE" w:sz="4"/>
              <w:bottom w:val="single" w:color="D0D7DE" w:sz="4"/>
              <w:right w:val="single" w:color="D0D7DE" w:sz="4"/>
            </w:tcBorders>
            <w:shd w:fill="2E5C8A" w:val="clear"/>
            <w:tcMar>
              <w:top w:type="dxa" w:w="120"/>
              <w:left w:type="dxa" w:w="140"/>
              <w:bottom w:type="dxa" w:w="120"/>
              <w:right w:type="dxa" w:w="140"/>
            </w:tcMar>
            <w:vAlign w:val="center"/>
          </w:tcPr>
          <w:p>
            <w:pPr>
              <w:spacing w:after="0" w:before="0"/>
              <w:jc w:val="center"/>
            </w:pPr>
            <w:r>
              <w:rPr>
                <w:rFonts w:ascii="Arial" w:cs="Arial" w:eastAsia="Arial" w:hAnsi="Arial"/>
                <w:b/>
                <w:bCs/>
                <w:color w:val="FFFFFF"/>
                <w:sz w:val="22"/>
                <w:szCs w:val="22"/>
              </w:rPr>
              <w:t xml:space="preserve">APPLICATION</w:t>
            </w:r>
          </w:p>
        </w:tc>
      </w:tr>
      <w:tr>
        <w:tc>
          <w:tcPr>
            <w:tcW w:type="dxa" w:w="3360"/>
            <w:tcBorders>
              <w:top w:val="single" w:color="D0D7DE" w:sz="4"/>
              <w:left w:val="single" w:color="D0D7DE" w:sz="4"/>
              <w:bottom w:val="single" w:color="D0D7DE" w:sz="4"/>
              <w:right w:val="single" w:color="D0D7DE" w:sz="4"/>
            </w:tcBorders>
            <w:shd w:fill="F4FBF7" w:val="clear"/>
            <w:tcMar>
              <w:top w:type="dxa" w:w="160"/>
              <w:left w:type="dxa" w:w="160"/>
              <w:bottom w:type="dxa" w:w="160"/>
              <w:right w:type="dxa" w:w="160"/>
            </w:tcMar>
            <w:vAlign w:val="top"/>
          </w:tcPr>
          <w:p>
            <w:pPr>
              <w:spacing w:after="40" w:before="0"/>
              <w:jc w:val="center"/>
            </w:pPr>
            <w:r>
              <w:rPr>
                <w:rFonts w:ascii="Arial" w:cs="Arial" w:eastAsia="Arial" w:hAnsi="Arial"/>
                <w:b/>
                <w:bCs/>
                <w:color w:val="5B6B7D"/>
                <w:sz w:val="16"/>
                <w:szCs w:val="16"/>
              </w:rPr>
              <w:t xml:space="preserve">BUSINESS / USE CASE OWNER</w:t>
            </w:r>
          </w:p>
          <w:p>
            <w:pPr>
              <w:spacing w:after="100" w:before="80"/>
              <w:jc w:val="center"/>
            </w:pPr>
            <w:r>
              <w:rPr>
                <w:rFonts w:ascii="Arial" w:cs="Arial" w:eastAsia="Arial" w:hAnsi="Arial"/>
                <w:b/>
                <w:bCs/>
                <w:color w:val="2F8F5B"/>
                <w:sz w:val="26"/>
                <w:szCs w:val="26"/>
              </w:rPr>
              <w:t xml:space="preserve">Tell us what you need</w:t>
            </w:r>
          </w:p>
          <w:p>
            <w:pPr>
              <w:pBdr>
                <w:top w:val="single" w:color="F4FBF7" w:sz="2"/>
                <w:left w:val="single" w:color="F4FBF7" w:sz="2"/>
                <w:bottom w:val="single" w:color="F4FBF7" w:sz="2"/>
                <w:right w:val="single" w:color="F4FBF7" w:sz="2"/>
              </w:pBdr>
              <w:shd w:fill="F4FBF7" w:val="clear"/>
              <w:spacing w:after="80" w:before="80"/>
              <w:ind w:left="100" w:right="100"/>
            </w:pPr>
            <w:r>
              <w:rPr>
                <w:rFonts w:ascii="Arial" w:cs="Arial" w:eastAsia="Arial" w:hAnsi="Arial"/>
                <w:b/>
                <w:bCs/>
                <w:color w:val="2F8F5B"/>
                <w:sz w:val="18"/>
                <w:szCs w:val="18"/>
              </w:rPr>
              <w:t xml:space="preserve">BUSINESS REQUEST TAKES PRIORITY</w:t>
            </w:r>
          </w:p>
          <w:p>
            <w:pPr>
              <w:spacing w:after="100" w:before="100"/>
              <w:jc w:val="left"/>
            </w:pPr>
            <w:r>
              <w:rPr>
                <w:rFonts w:ascii="Arial" w:cs="Arial" w:eastAsia="Arial" w:hAnsi="Arial"/>
                <w:b w:val="false"/>
                <w:bCs w:val="false"/>
                <w:i w:val="false"/>
                <w:iCs w:val="false"/>
                <w:color w:val="1E2A38"/>
                <w:sz w:val="22"/>
                <w:szCs w:val="22"/>
              </w:rPr>
              <w:t xml:space="preserve">You describe your use case, the reports you consume today, and what you want to be able to do.</w:t>
            </w:r>
          </w:p>
          <w:p>
            <w:pPr>
              <w:pStyle w:val="ListParagraph"/>
              <w:numPr>
                <w:ilvl w:val="0"/>
                <w:numId w:val="2"/>
              </w:numPr>
              <w:spacing w:after="40" w:before="40"/>
            </w:pPr>
            <w:r>
              <w:rPr>
                <w:rFonts w:ascii="Arial" w:cs="Arial" w:eastAsia="Arial" w:hAnsi="Arial"/>
                <w:i w:val="false"/>
                <w:iCs w:val="false"/>
                <w:color w:val="1E2A38"/>
                <w:sz w:val="22"/>
                <w:szCs w:val="22"/>
              </w:rPr>
              <w:t xml:space="preserve">Fill in the Business Intake</w:t>
            </w:r>
          </w:p>
          <w:p>
            <w:pPr>
              <w:pStyle w:val="ListParagraph"/>
              <w:numPr>
                <w:ilvl w:val="0"/>
                <w:numId w:val="2"/>
              </w:numPr>
              <w:spacing w:after="40" w:before="40"/>
            </w:pPr>
            <w:r>
              <w:rPr>
                <w:rFonts w:ascii="Arial" w:cs="Arial" w:eastAsia="Arial" w:hAnsi="Arial"/>
                <w:i w:val="false"/>
                <w:iCs w:val="false"/>
                <w:color w:val="1E2A38"/>
                <w:sz w:val="22"/>
                <w:szCs w:val="22"/>
              </w:rPr>
              <w:t xml:space="preserve">Get access to the analytics environment</w:t>
            </w:r>
          </w:p>
          <w:p>
            <w:pPr>
              <w:pStyle w:val="ListParagraph"/>
              <w:numPr>
                <w:ilvl w:val="0"/>
                <w:numId w:val="2"/>
              </w:numPr>
              <w:spacing w:after="40" w:before="40"/>
            </w:pPr>
            <w:r>
              <w:rPr>
                <w:rFonts w:ascii="Arial" w:cs="Arial" w:eastAsia="Arial" w:hAnsi="Arial"/>
                <w:i w:val="false"/>
                <w:iCs w:val="false"/>
                <w:color w:val="1E2A38"/>
                <w:sz w:val="22"/>
                <w:szCs w:val="22"/>
              </w:rPr>
              <w:t xml:space="preserve">Get access to the BI tool</w:t>
            </w:r>
          </w:p>
          <w:p>
            <w:pPr>
              <w:spacing w:after="100" w:before="100"/>
              <w:jc w:val="left"/>
            </w:pPr>
            <w:r>
              <w:rPr>
                <w:rFonts w:ascii="Arial" w:cs="Arial" w:eastAsia="Arial" w:hAnsi="Arial"/>
                <w:b w:val="false"/>
                <w:bCs w:val="false"/>
                <w:i/>
                <w:iCs/>
                <w:color w:val="5B6B7D"/>
                <w:sz w:val="20"/>
                <w:szCs w:val="20"/>
              </w:rPr>
              <w:t xml:space="preserve">Your intake adds focus and priority to the work the application teams are already doing.</w:t>
            </w:r>
          </w:p>
          <w:p>
            <w:pPr>
              <w:spacing w:after="0" w:before="100"/>
              <w:jc w:val="left"/>
            </w:pPr>
            <w:r>
              <w:rPr>
                <w:rFonts w:ascii="Arial" w:cs="Arial" w:eastAsia="Arial" w:hAnsi="Arial"/>
                <w:b/>
                <w:bCs/>
                <w:i w:val="false"/>
                <w:iCs w:val="false"/>
                <w:color w:val="2F8F5B"/>
                <w:sz w:val="22"/>
                <w:szCs w:val="22"/>
              </w:rPr>
              <w:t xml:space="preserve">→  See Business Intake page (below)</w:t>
            </w:r>
          </w:p>
        </w:tc>
        <w:tc>
          <w:tcPr>
            <w:tcW w:type="dxa" w:w="3360"/>
            <w:tcBorders>
              <w:top w:val="single" w:color="D0D7DE" w:sz="4"/>
              <w:left w:val="single" w:color="D0D7DE" w:sz="4"/>
              <w:bottom w:val="single" w:color="D0D7DE" w:sz="4"/>
              <w:right w:val="single" w:color="D0D7DE" w:sz="4"/>
            </w:tcBorders>
            <w:shd w:fill="F4F5F7" w:val="clear"/>
            <w:tcMar>
              <w:top w:type="dxa" w:w="160"/>
              <w:left w:type="dxa" w:w="160"/>
              <w:bottom w:type="dxa" w:w="160"/>
              <w:right w:type="dxa" w:w="160"/>
            </w:tcMar>
            <w:vAlign w:val="top"/>
          </w:tcPr>
          <w:p>
            <w:pPr>
              <w:spacing w:after="40" w:before="0"/>
              <w:jc w:val="center"/>
            </w:pPr>
            <w:r>
              <w:rPr>
                <w:rFonts w:ascii="Arial" w:cs="Arial" w:eastAsia="Arial" w:hAnsi="Arial"/>
                <w:b/>
                <w:bCs/>
                <w:color w:val="5B6B7D"/>
                <w:sz w:val="16"/>
                <w:szCs w:val="16"/>
              </w:rPr>
              <w:t xml:space="preserve">WHAT THE BUSINESS SEES</w:t>
            </w:r>
          </w:p>
          <w:p>
            <w:pPr>
              <w:spacing w:after="100" w:before="80"/>
              <w:jc w:val="center"/>
            </w:pPr>
            <w:r>
              <w:rPr>
                <w:rFonts w:ascii="Arial" w:cs="Arial" w:eastAsia="Arial" w:hAnsi="Arial"/>
                <w:b/>
                <w:bCs/>
                <w:color w:val="5B6B7D"/>
                <w:sz w:val="24"/>
                <w:szCs w:val="24"/>
              </w:rPr>
              <w:t xml:space="preserve">Conformed, contracted, ready to use</w:t>
            </w:r>
          </w:p>
          <w:p>
            <w:pPr>
              <w:spacing w:after="120" w:before="100"/>
              <w:jc w:val="left"/>
            </w:pPr>
            <w:r>
              <w:rPr>
                <w:rFonts w:ascii="Arial" w:cs="Arial" w:eastAsia="Arial" w:hAnsi="Arial"/>
                <w:b w:val="false"/>
                <w:bCs w:val="false"/>
                <w:i w:val="false"/>
                <w:iCs w:val="false"/>
                <w:color w:val="1E2A38"/>
                <w:sz w:val="22"/>
                <w:szCs w:val="22"/>
              </w:rPr>
              <w:t xml:space="preserve">The business-facing layer of the analytics environment. Contains the finished, governed artefacts that consumers query — no application internals visible here.</w:t>
            </w:r>
          </w:p>
          <w:p>
            <w:pPr>
              <w:spacing w:after="60" w:before="60"/>
            </w:pPr>
            <w:r>
              <w:rPr>
                <w:rFonts w:ascii="Arial" w:cs="Arial" w:eastAsia="Arial" w:hAnsi="Arial"/>
                <w:b/>
                <w:bCs/>
                <w:color w:val="1A5D2C"/>
                <w:sz w:val="22"/>
                <w:szCs w:val="22"/>
              </w:rPr>
              <w:t xml:space="preserve">What lives here:</w:t>
            </w:r>
          </w:p>
          <w:p>
            <w:pPr>
              <w:pStyle w:val="ListParagraph"/>
              <w:numPr>
                <w:ilvl w:val="0"/>
                <w:numId w:val="2"/>
              </w:numPr>
              <w:spacing w:after="40" w:before="40"/>
            </w:pPr>
            <w:r>
              <w:rPr>
                <w:rFonts w:ascii="Arial" w:cs="Arial" w:eastAsia="Arial" w:hAnsi="Arial"/>
                <w:i w:val="false"/>
                <w:iCs w:val="false"/>
                <w:color w:val="1E2A38"/>
                <w:sz w:val="22"/>
                <w:szCs w:val="22"/>
              </w:rPr>
              <w:t xml:space="preserve">Data Products (with their v8 contracts)</w:t>
            </w:r>
          </w:p>
          <w:p>
            <w:pPr>
              <w:pStyle w:val="ListParagraph"/>
              <w:numPr>
                <w:ilvl w:val="0"/>
                <w:numId w:val="2"/>
              </w:numPr>
              <w:spacing w:after="40" w:before="40"/>
            </w:pPr>
            <w:r>
              <w:rPr>
                <w:rFonts w:ascii="Arial" w:cs="Arial" w:eastAsia="Arial" w:hAnsi="Arial"/>
                <w:i w:val="false"/>
                <w:iCs w:val="false"/>
                <w:color w:val="1E2A38"/>
                <w:sz w:val="22"/>
                <w:szCs w:val="22"/>
              </w:rPr>
              <w:t xml:space="preserve">Conformed Entities — agreed across applications</w:t>
            </w:r>
          </w:p>
          <w:p>
            <w:pPr>
              <w:pStyle w:val="ListParagraph"/>
              <w:numPr>
                <w:ilvl w:val="0"/>
                <w:numId w:val="2"/>
              </w:numPr>
              <w:spacing w:after="40" w:before="40"/>
            </w:pPr>
            <w:r>
              <w:rPr>
                <w:rFonts w:ascii="Arial" w:cs="Arial" w:eastAsia="Arial" w:hAnsi="Arial"/>
                <w:i w:val="false"/>
                <w:iCs w:val="false"/>
                <w:color w:val="1E2A38"/>
                <w:sz w:val="22"/>
                <w:szCs w:val="22"/>
              </w:rPr>
              <w:t xml:space="preserve">CDM — canonical relationships</w:t>
            </w:r>
          </w:p>
          <w:p>
            <w:pPr>
              <w:pStyle w:val="ListParagraph"/>
              <w:numPr>
                <w:ilvl w:val="0"/>
                <w:numId w:val="2"/>
              </w:numPr>
              <w:spacing w:after="40" w:before="40"/>
            </w:pPr>
            <w:r>
              <w:rPr>
                <w:rFonts w:ascii="Arial" w:cs="Arial" w:eastAsia="Arial" w:hAnsi="Arial"/>
                <w:i w:val="false"/>
                <w:iCs w:val="false"/>
                <w:color w:val="1E2A38"/>
                <w:sz w:val="22"/>
                <w:szCs w:val="22"/>
              </w:rPr>
              <w:t xml:space="preserve">Dimensional Model structure — for BI consumption</w:t>
            </w:r>
          </w:p>
          <w:p>
            <w:pPr>
              <w:spacing w:after="100" w:before="100"/>
              <w:jc w:val="left"/>
            </w:pPr>
            <w:r>
              <w:rPr>
                <w:rFonts w:ascii="Arial" w:cs="Arial" w:eastAsia="Arial" w:hAnsi="Arial"/>
                <w:b w:val="false"/>
                <w:bCs w:val="false"/>
                <w:i w:val="false"/>
                <w:iCs w:val="false"/>
                <w:color w:val="1E2A38"/>
                <w:sz w:val="22"/>
                <w:szCs w:val="22"/>
              </w:rPr>
              <w:t xml:space="preserve">The business consumes from here: dashboards, BI, ad-hoc query.</w:t>
            </w:r>
          </w:p>
          <w:p>
            <w:pPr>
              <w:pBdr>
                <w:top w:val="dashed" w:color="D0D7DE" w:sz="4" w:space="4"/>
                <w:left w:val="none" w:color="FFFFFF" w:sz="0"/>
                <w:bottom w:val="none" w:color="FFFFFF" w:sz="0"/>
                <w:right w:val="none" w:color="FFFFFF" w:sz="0"/>
              </w:pBdr>
              <w:spacing w:after="80" w:before="160"/>
            </w:pPr>
            <w:r>
              <w:rPr>
                <w:rFonts w:ascii="Arial" w:cs="Arial" w:eastAsia="Arial" w:hAnsi="Arial"/>
                <w:i/>
                <w:iCs/>
                <w:color w:val="5B6B7D"/>
                <w:sz w:val="18"/>
                <w:szCs w:val="18"/>
              </w:rPr>
              <w:t xml:space="preserve">Future state: this is where a dedicated Data Product Owner role would sit, curating the warehouse as the practice matures.</w:t>
            </w:r>
          </w:p>
        </w:tc>
        <w:tc>
          <w:tcPr>
            <w:tcW w:type="dxa" w:w="3360"/>
            <w:tcBorders>
              <w:top w:val="single" w:color="D0D7DE" w:sz="4"/>
              <w:left w:val="single" w:color="D0D7DE" w:sz="4"/>
              <w:bottom w:val="single" w:color="D0D7DE" w:sz="4"/>
              <w:right w:val="single" w:color="D0D7DE" w:sz="4"/>
            </w:tcBorders>
            <w:shd w:fill="EBF2FA" w:val="clear"/>
            <w:tcMar>
              <w:top w:type="dxa" w:w="160"/>
              <w:left w:type="dxa" w:w="160"/>
              <w:bottom w:type="dxa" w:w="160"/>
              <w:right w:type="dxa" w:w="160"/>
            </w:tcMar>
            <w:vAlign w:val="top"/>
          </w:tcPr>
          <w:p>
            <w:pPr>
              <w:spacing w:after="40" w:before="0"/>
              <w:jc w:val="center"/>
            </w:pPr>
            <w:r>
              <w:rPr>
                <w:rFonts w:ascii="Arial" w:cs="Arial" w:eastAsia="Arial" w:hAnsi="Arial"/>
                <w:b/>
                <w:bCs/>
                <w:color w:val="5B6B7D"/>
                <w:sz w:val="16"/>
                <w:szCs w:val="16"/>
              </w:rPr>
              <w:t xml:space="preserve">APPLICATION / DATA TEAM</w:t>
            </w:r>
          </w:p>
          <w:p>
            <w:pPr>
              <w:spacing w:after="100" w:before="80"/>
              <w:jc w:val="center"/>
            </w:pPr>
            <w:r>
              <w:rPr>
                <w:rFonts w:ascii="Arial" w:cs="Arial" w:eastAsia="Arial" w:hAnsi="Arial"/>
                <w:b/>
                <w:bCs/>
                <w:color w:val="2E5C8A"/>
                <w:sz w:val="26"/>
                <w:szCs w:val="26"/>
              </w:rPr>
              <w:t xml:space="preserve">Prepare data → publish products</w:t>
            </w:r>
          </w:p>
          <w:p>
            <w:pPr>
              <w:pBdr>
                <w:top w:val="single" w:color="FDF5E0" w:sz="2"/>
                <w:left w:val="single" w:color="FDF5E0" w:sz="2"/>
                <w:bottom w:val="single" w:color="FDF5E0" w:sz="2"/>
                <w:right w:val="single" w:color="FDF5E0" w:sz="2"/>
              </w:pBdr>
              <w:shd w:fill="FDF5E0" w:val="clear"/>
              <w:spacing w:after="80" w:before="80"/>
              <w:ind w:left="100" w:right="100"/>
            </w:pPr>
            <w:r>
              <w:rPr>
                <w:rFonts w:ascii="Arial" w:cs="Arial" w:eastAsia="Arial" w:hAnsi="Arial"/>
                <w:b/>
                <w:bCs/>
                <w:color w:val="B9772A"/>
                <w:sz w:val="18"/>
                <w:szCs w:val="18"/>
              </w:rPr>
              <w:t xml:space="preserve">RUNS CONTINUOUSLY — EVEN WITHOUT BUSINESS INTAKE</w:t>
            </w:r>
          </w:p>
          <w:p>
            <w:pPr>
              <w:spacing w:after="120" w:before="100"/>
              <w:jc w:val="left"/>
            </w:pPr>
            <w:r>
              <w:rPr>
                <w:rFonts w:ascii="Arial" w:cs="Arial" w:eastAsia="Arial" w:hAnsi="Arial"/>
                <w:b w:val="false"/>
                <w:bCs w:val="false"/>
                <w:i w:val="false"/>
                <w:iCs w:val="false"/>
                <w:color w:val="1E2A38"/>
                <w:sz w:val="22"/>
                <w:szCs w:val="22"/>
              </w:rPr>
              <w:t xml:space="preserve">Application teams continuously prepare their data, resolve entities, build the CDM, and publish data products. Business intake adds priority and focus.</w:t>
            </w:r>
          </w:p>
          <w:p>
            <w:pPr>
              <w:pStyle w:val="ListParagraph"/>
              <w:numPr>
                <w:ilvl w:val="0"/>
                <w:numId w:val="2"/>
              </w:numPr>
              <w:spacing w:after="40" w:before="40"/>
            </w:pPr>
            <w:r>
              <w:rPr>
                <w:rFonts w:ascii="Arial" w:cs="Arial" w:eastAsia="Arial" w:hAnsi="Arial"/>
                <w:i w:val="false"/>
                <w:iCs w:val="false"/>
                <w:color w:val="1E2A38"/>
                <w:sz w:val="22"/>
                <w:szCs w:val="22"/>
              </w:rPr>
              <w:t xml:space="preserve">1.  Identify data to be moved</w:t>
            </w:r>
          </w:p>
          <w:p>
            <w:pPr>
              <w:pStyle w:val="ListParagraph"/>
              <w:numPr>
                <w:ilvl w:val="0"/>
                <w:numId w:val="2"/>
              </w:numPr>
              <w:spacing w:after="40" w:before="40"/>
            </w:pPr>
            <w:r>
              <w:rPr>
                <w:rFonts w:ascii="Arial" w:cs="Arial" w:eastAsia="Arial" w:hAnsi="Arial"/>
                <w:i w:val="false"/>
                <w:iCs w:val="false"/>
                <w:color w:val="1E2A38"/>
                <w:sz w:val="22"/>
                <w:szCs w:val="22"/>
              </w:rPr>
              <w:t xml:space="preserve">2.  Ingestion</w:t>
            </w:r>
          </w:p>
          <w:p>
            <w:pPr>
              <w:pStyle w:val="ListParagraph"/>
              <w:numPr>
                <w:ilvl w:val="0"/>
                <w:numId w:val="2"/>
              </w:numPr>
              <w:spacing w:after="40" w:before="40"/>
            </w:pPr>
            <w:r>
              <w:rPr>
                <w:rFonts w:ascii="Arial" w:cs="Arial" w:eastAsia="Arial" w:hAnsi="Arial"/>
                <w:i w:val="false"/>
                <w:iCs w:val="false"/>
                <w:color w:val="1E2A38"/>
                <w:sz w:val="22"/>
                <w:szCs w:val="22"/>
              </w:rPr>
              <w:t xml:space="preserve">3.  Resolve &amp; conform entities</w:t>
            </w:r>
          </w:p>
          <w:p>
            <w:pPr>
              <w:pStyle w:val="ListParagraph"/>
              <w:numPr>
                <w:ilvl w:val="0"/>
                <w:numId w:val="2"/>
              </w:numPr>
              <w:spacing w:after="40" w:before="40"/>
            </w:pPr>
            <w:r>
              <w:rPr>
                <w:rFonts w:ascii="Arial" w:cs="Arial" w:eastAsia="Arial" w:hAnsi="Arial"/>
                <w:i w:val="false"/>
                <w:iCs w:val="false"/>
                <w:color w:val="1E2A38"/>
                <w:sz w:val="22"/>
                <w:szCs w:val="22"/>
              </w:rPr>
              <w:t xml:space="preserve">4.  Cross-app conformance</w:t>
            </w:r>
          </w:p>
          <w:p>
            <w:pPr>
              <w:pStyle w:val="ListParagraph"/>
              <w:numPr>
                <w:ilvl w:val="0"/>
                <w:numId w:val="2"/>
              </w:numPr>
              <w:spacing w:after="40" w:before="40"/>
            </w:pPr>
            <w:r>
              <w:rPr>
                <w:rFonts w:ascii="Arial" w:cs="Arial" w:eastAsia="Arial" w:hAnsi="Arial"/>
                <w:i w:val="false"/>
                <w:iCs w:val="false"/>
                <w:color w:val="1E2A38"/>
                <w:sz w:val="22"/>
                <w:szCs w:val="22"/>
              </w:rPr>
              <w:t xml:space="preserve">5.  Data Product Canvas</w:t>
            </w:r>
          </w:p>
          <w:p>
            <w:pPr>
              <w:pStyle w:val="ListParagraph"/>
              <w:numPr>
                <w:ilvl w:val="0"/>
                <w:numId w:val="2"/>
              </w:numPr>
              <w:spacing w:after="40" w:before="40"/>
            </w:pPr>
            <w:r>
              <w:rPr>
                <w:rFonts w:ascii="Arial" w:cs="Arial" w:eastAsia="Arial" w:hAnsi="Arial"/>
                <w:i w:val="false"/>
                <w:iCs w:val="false"/>
                <w:color w:val="1E2A38"/>
                <w:sz w:val="22"/>
                <w:szCs w:val="22"/>
              </w:rPr>
              <w:t xml:space="preserve">6.  CDM &amp; dimensional model</w:t>
            </w:r>
          </w:p>
          <w:p>
            <w:pPr>
              <w:pStyle w:val="ListParagraph"/>
              <w:numPr>
                <w:ilvl w:val="0"/>
                <w:numId w:val="2"/>
              </w:numPr>
              <w:spacing w:after="40" w:before="40"/>
            </w:pPr>
            <w:r>
              <w:rPr>
                <w:rFonts w:ascii="Arial" w:cs="Arial" w:eastAsia="Arial" w:hAnsi="Arial"/>
                <w:i w:val="false"/>
                <w:iCs w:val="false"/>
                <w:color w:val="1E2A38"/>
                <w:sz w:val="22"/>
                <w:szCs w:val="22"/>
              </w:rPr>
              <w:t xml:space="preserve">7.  Publish to risk_warehouse</w:t>
            </w:r>
          </w:p>
          <w:p>
            <w:pPr>
              <w:spacing w:after="0" w:before="100"/>
              <w:jc w:val="left"/>
            </w:pPr>
            <w:r>
              <w:rPr>
                <w:rFonts w:ascii="Arial" w:cs="Arial" w:eastAsia="Arial" w:hAnsi="Arial"/>
                <w:b/>
                <w:bCs/>
                <w:i w:val="false"/>
                <w:iCs w:val="false"/>
                <w:color w:val="2E5C8A"/>
                <w:sz w:val="22"/>
                <w:szCs w:val="22"/>
              </w:rPr>
              <w:t xml:space="preserve">→  See Application / Canvas page (below)</w:t>
            </w:r>
          </w:p>
        </w:tc>
      </w:tr>
    </w:tbl>
    <w:p>
      <w:pPr>
        <w:spacing w:after="200" w:before="200"/>
        <w:jc w:val="center"/>
      </w:pPr>
      <w:r>
        <w:rPr>
          <w:rFonts w:ascii="Arial" w:cs="Arial" w:eastAsia="Arial" w:hAnsi="Arial"/>
          <w:i/>
          <w:iCs/>
          <w:color w:val="5B6B7D"/>
          <w:sz w:val="20"/>
          <w:szCs w:val="20"/>
        </w:rPr>
        <w:t xml:space="preserve">Business intake (left) feeds focus into Application work (right). Application work publishes into the Bridge (middle). Business consumes from the Bridge.</w:t>
      </w:r>
    </w:p>
    <w:p>
      <w:pPr>
        <w:pBdr>
          <w:top w:val="none" w:color="FFFFFF" w:sz="0"/>
          <w:left w:val="none" w:color="FFFFFF" w:sz="0"/>
          <w:bottom w:val="single" w:color="D0D7DE" w:sz="8" w:space="4"/>
          <w:right w:val="none" w:color="FFFFFF" w:sz="0"/>
        </w:pBdr>
        <w:spacing w:after="160" w:before="360"/>
      </w:pPr>
      <w:r>
        <w:rPr>
          <w:rFonts w:ascii="Arial" w:cs="Arial" w:eastAsia="Arial" w:hAnsi="Arial"/>
          <w:b/>
          <w:bCs/>
          <w:color w:val="1A5D2C"/>
          <w:sz w:val="32"/>
          <w:szCs w:val="32"/>
        </w:rPr>
        <w:t xml:space="preserve">Browse certified data products</w:t>
      </w:r>
    </w:p>
    <w:p>
      <w:pPr>
        <w:spacing w:after="80" w:before="80"/>
        <w:jc w:val="left"/>
      </w:pPr>
      <w:r>
        <w:rPr>
          <w:rFonts w:ascii="Arial" w:cs="Arial" w:eastAsia="Arial" w:hAnsi="Arial"/>
          <w:b w:val="false"/>
          <w:bCs w:val="false"/>
          <w:i w:val="false"/>
          <w:iCs w:val="false"/>
          <w:color w:val="1E2A38"/>
          <w:sz w:val="22"/>
          <w:szCs w:val="22"/>
        </w:rPr>
        <w:t xml:space="preserve">Looking for an existing product rather than starting a new use case? The Products catalog lists every certified data product available in the risk_warehouse, with its canvas, contract, and consumer information.</w:t>
      </w:r>
    </w:p>
    <w:p>
      <w:pPr>
        <w:spacing w:after="40" w:before="40"/>
      </w:pPr>
      <w:r>
        <w:rPr>
          <w:rFonts w:ascii="Arial" w:cs="Arial" w:eastAsia="Arial" w:hAnsi="Arial"/>
          <w:b/>
          <w:bCs/>
          <w:color w:val="2E5C8A"/>
          <w:sz w:val="22"/>
          <w:szCs w:val="22"/>
        </w:rPr>
        <w:t xml:space="preserve">→ </w:t>
      </w:r>
      <w:hyperlink w:history="1" r:id="rIddkslabjh7t1mllwoxnrzc">
        <w:r>
          <w:rPr>
            <w:rFonts w:ascii="Arial" w:cs="Arial" w:eastAsia="Arial" w:hAnsi="Arial"/>
            <w:color w:val="2E5C8A"/>
            <w:sz w:val="22"/>
            <w:szCs w:val="22"/>
            <w:u w:val="single"/>
          </w:rPr>
          <w:t xml:space="preserve">Products catalog (Confluence)</w:t>
        </w:r>
      </w:hyperlink>
    </w:p>
    <w:p>
      <w:pPr>
        <w:pBdr>
          <w:top w:val="single" w:color="D0D7DE" w:sz="4" w:space="4"/>
          <w:left w:val="none" w:color="FFFFFF" w:sz="0"/>
          <w:bottom w:val="none" w:color="FFFFFF" w:sz="0"/>
          <w:right w:val="none" w:color="FFFFFF" w:sz="0"/>
        </w:pBdr>
        <w:spacing w:after="100" w:before="400"/>
        <w:jc w:val="left"/>
      </w:pPr>
      <w:r>
        <w:rPr>
          <w:rFonts w:ascii="Arial" w:cs="Arial" w:eastAsia="Arial" w:hAnsi="Arial"/>
          <w:b/>
          <w:bCs/>
          <w:i/>
          <w:iCs/>
          <w:color w:val="5B6B7D"/>
          <w:sz w:val="18"/>
          <w:szCs w:val="18"/>
        </w:rPr>
        <w:t xml:space="preserve">Industry grounding. </w:t>
      </w:r>
      <w:r>
        <w:rPr>
          <w:rFonts w:ascii="Arial" w:cs="Arial" w:eastAsia="Arial" w:hAnsi="Arial"/>
          <w:i/>
          <w:iCs/>
          <w:color w:val="5B6B7D"/>
          <w:sz w:val="18"/>
          <w:szCs w:val="18"/>
        </w:rPr>
        <w:t xml:space="preserve">Aligned to the Open Data Contract Standard (ODCS) and the INNOQ Data Product Canvas (CC BY 4.0), the established patterns in the data mesh community.</w:t>
      </w:r>
    </w:p>
    <w:p>
      <w:pPr>
        <w:pageBreakBefore/>
        <w:pBdr>
          <w:top w:val="none" w:color="FFFFFF" w:sz="0"/>
          <w:left w:val="none" w:color="FFFFFF" w:sz="0"/>
          <w:bottom w:val="single" w:color="2F8F5B" w:sz="24" w:space="4"/>
          <w:right w:val="none" w:color="FFFFFF" w:sz="0"/>
        </w:pBdr>
        <w:spacing w:after="100" w:before="0"/>
      </w:pPr>
      <w:r>
        <w:rPr>
          <w:rFonts w:ascii="Arial" w:cs="Arial" w:eastAsia="Arial" w:hAnsi="Arial"/>
          <w:b/>
          <w:bCs/>
          <w:color w:val="2F8F5B"/>
          <w:sz w:val="36"/>
          <w:szCs w:val="36"/>
        </w:rPr>
        <w:t xml:space="preserve">Business Intake — page detail</w:t>
      </w:r>
    </w:p>
    <w:p>
      <w:pPr>
        <w:spacing w:after="160" w:before="60"/>
        <w:jc w:val="left"/>
      </w:pPr>
      <w:r>
        <w:rPr>
          <w:rFonts w:ascii="Arial" w:cs="Arial" w:eastAsia="Arial" w:hAnsi="Arial"/>
          <w:b w:val="false"/>
          <w:bCs w:val="false"/>
          <w:i/>
          <w:iCs/>
          <w:color w:val="5B6B7D"/>
          <w:sz w:val="22"/>
          <w:szCs w:val="22"/>
        </w:rPr>
        <w:t xml:space="preserve">This is what you'll see when you click through from the Business column on the main page.</w:t>
      </w:r>
    </w:p>
    <w:p>
      <w:pPr>
        <w:pBdr>
          <w:top w:val="single" w:color="EAF6EE" w:sz="2"/>
          <w:left w:val="single" w:color="1A5D2C" w:sz="24" w:space="8"/>
          <w:bottom w:val="single" w:color="EAF6EE" w:sz="2"/>
          <w:right w:val="single" w:color="EAF6EE" w:sz="2"/>
        </w:pBdr>
        <w:shd w:fill="EAF6EE" w:val="clear"/>
        <w:spacing w:after="200" w:before="200"/>
        <w:ind w:left="200"/>
      </w:pPr>
      <w:r>
        <w:rPr>
          <w:rFonts w:ascii="Arial" w:cs="Arial" w:eastAsia="Arial" w:hAnsi="Arial"/>
          <w:b/>
          <w:bCs/>
          <w:color w:val="1A5D2C"/>
          <w:sz w:val="22"/>
          <w:szCs w:val="22"/>
        </w:rPr>
        <w:t xml:space="preserve">This is normally a conversation. </w:t>
      </w:r>
      <w:r>
        <w:rPr>
          <w:rFonts w:ascii="Arial" w:cs="Arial" w:eastAsia="Arial" w:hAnsi="Arial"/>
          <w:color w:val="1A5D2C"/>
          <w:sz w:val="22"/>
          <w:szCs w:val="22"/>
        </w:rPr>
        <w:t xml:space="preserve">In a mature data practice, a Data Product Owner would sit with you and walk through these questions in person. We don't yet have that role at TD, so we're asking you to write the answers down yourself. Think of this as a structured conversation rather than a form to complete.</w:t>
      </w:r>
    </w:p>
    <w:p>
      <w:pPr>
        <w:spacing w:after="100" w:before="160"/>
        <w:jc w:val="left"/>
      </w:pPr>
      <w:r>
        <w:rPr>
          <w:rFonts w:ascii="Arial" w:cs="Arial" w:eastAsia="Arial" w:hAnsi="Arial"/>
          <w:b w:val="false"/>
          <w:bCs w:val="false"/>
          <w:i w:val="false"/>
          <w:iCs w:val="false"/>
          <w:color w:val="1E2A38"/>
          <w:sz w:val="22"/>
          <w:szCs w:val="22"/>
        </w:rPr>
        <w:t xml:space="preserve">The Business Intake captures your world — what you do today, what you want to be able to do, and what's hard about it — in a way that lets the data team translate it into a published, governed data product in the risk_warehouse.</w:t>
      </w:r>
    </w:p>
    <w:p>
      <w:pPr>
        <w:spacing w:after="80" w:before="80"/>
        <w:jc w:val="left"/>
      </w:pPr>
      <w:r>
        <w:rPr>
          <w:rFonts w:ascii="Arial" w:cs="Arial" w:eastAsia="Arial" w:hAnsi="Arial"/>
          <w:b w:val="false"/>
          <w:bCs w:val="false"/>
          <w:i w:val="false"/>
          <w:iCs w:val="false"/>
          <w:color w:val="1E2A38"/>
          <w:sz w:val="22"/>
          <w:szCs w:val="22"/>
        </w:rPr>
        <w:t xml:space="preserve">Don't worry about technical vocabulary. Describe what you need in your own words. The data team will translate “I want to see exposure by counterparty broken down by direct, indirect, and CCR” into entities, measures, contracts, and so on. Your job is to describe the business need clearly and completely.</w:t>
      </w:r>
    </w:p>
    <w:p>
      <w:pPr>
        <w:spacing w:after="120" w:before="280"/>
      </w:pPr>
      <w:r>
        <w:rPr>
          <w:rFonts w:ascii="Arial" w:cs="Arial" w:eastAsia="Arial" w:hAnsi="Arial"/>
          <w:b/>
          <w:bCs/>
          <w:color w:val="2E5C8A"/>
          <w:sz w:val="26"/>
          <w:szCs w:val="26"/>
        </w:rPr>
        <w:t xml:space="preserve">What you need to do</w:t>
      </w:r>
    </w:p>
    <w:p>
      <w:pPr>
        <w:pStyle w:val="ListParagraph"/>
        <w:numPr>
          <w:ilvl w:val="0"/>
          <w:numId w:val="3"/>
        </w:numPr>
        <w:spacing w:after="40" w:before="40"/>
      </w:pPr>
      <w:r>
        <w:rPr>
          <w:rFonts w:ascii="Arial" w:cs="Arial" w:eastAsia="Arial" w:hAnsi="Arial"/>
          <w:b w:val="false"/>
          <w:bCs w:val="false"/>
          <w:color w:val="1E2A38"/>
          <w:sz w:val="22"/>
          <w:szCs w:val="22"/>
        </w:rPr>
        <w:t xml:space="preserve">Open the intake template (link below) — comes pre-filled with a worked example</w:t>
      </w:r>
    </w:p>
    <w:p>
      <w:pPr>
        <w:pStyle w:val="ListParagraph"/>
        <w:numPr>
          <w:ilvl w:val="0"/>
          <w:numId w:val="3"/>
        </w:numPr>
        <w:spacing w:after="40" w:before="40"/>
      </w:pPr>
      <w:r>
        <w:rPr>
          <w:rFonts w:ascii="Arial" w:cs="Arial" w:eastAsia="Arial" w:hAnsi="Arial"/>
          <w:b w:val="false"/>
          <w:bCs w:val="false"/>
          <w:color w:val="1E2A38"/>
          <w:sz w:val="22"/>
          <w:szCs w:val="22"/>
        </w:rPr>
        <w:t xml:space="preserve">Replace the example content with your own across the sections</w:t>
      </w:r>
    </w:p>
    <w:p>
      <w:pPr>
        <w:pStyle w:val="ListParagraph"/>
        <w:numPr>
          <w:ilvl w:val="0"/>
          <w:numId w:val="3"/>
        </w:numPr>
        <w:spacing w:after="40" w:before="40"/>
      </w:pPr>
      <w:r>
        <w:rPr>
          <w:rFonts w:ascii="Arial" w:cs="Arial" w:eastAsia="Arial" w:hAnsi="Arial"/>
          <w:b w:val="false"/>
          <w:bCs w:val="false"/>
          <w:color w:val="1E2A38"/>
          <w:sz w:val="22"/>
          <w:szCs w:val="22"/>
        </w:rPr>
        <w:t xml:space="preserve">Submit / share with the data team</w:t>
      </w:r>
    </w:p>
    <w:p>
      <w:pPr>
        <w:pStyle w:val="ListParagraph"/>
        <w:numPr>
          <w:ilvl w:val="0"/>
          <w:numId w:val="3"/>
        </w:numPr>
        <w:spacing w:after="40" w:before="40"/>
      </w:pPr>
      <w:r>
        <w:rPr>
          <w:rFonts w:ascii="Arial" w:cs="Arial" w:eastAsia="Arial" w:hAnsi="Arial"/>
          <w:b w:val="false"/>
          <w:bCs w:val="false"/>
          <w:color w:val="1E2A38"/>
          <w:sz w:val="22"/>
          <w:szCs w:val="22"/>
        </w:rPr>
        <w:t xml:space="preserve">Expect a follow-up conversation to clarify entities and measures</w:t>
      </w:r>
    </w:p>
    <w:p>
      <w:pPr>
        <w:spacing w:after="120" w:before="280"/>
      </w:pPr>
      <w:r>
        <w:rPr>
          <w:rFonts w:ascii="Arial" w:cs="Arial" w:eastAsia="Arial" w:hAnsi="Arial"/>
          <w:b/>
          <w:bCs/>
          <w:color w:val="2E5C8A"/>
          <w:sz w:val="26"/>
          <w:szCs w:val="26"/>
        </w:rPr>
        <w:t xml:space="preserve">The intake template</w:t>
      </w:r>
    </w:p>
    <w:p>
      <w:pPr>
        <w:spacing w:after="80" w:before="80"/>
        <w:jc w:val="left"/>
      </w:pPr>
      <w:r>
        <w:rPr>
          <w:rFonts w:ascii="Arial" w:cs="Arial" w:eastAsia="Arial" w:hAnsi="Arial"/>
          <w:b w:val="false"/>
          <w:bCs w:val="false"/>
          <w:i w:val="false"/>
          <w:iCs w:val="false"/>
          <w:color w:val="1E2A38"/>
          <w:sz w:val="22"/>
          <w:szCs w:val="22"/>
        </w:rPr>
        <w:t xml:space="preserve">Two files. Use the blank template; the worked example is available alongside as a reference.</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Business Intake template (Excel — blank, in Teams / SharePoint)]</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Business Intake worked example (Exposure by Counterparty)]</w:t>
      </w:r>
    </w:p>
    <w:p>
      <w:pPr>
        <w:spacing w:after="160" w:before="160"/>
        <w:jc w:val="left"/>
      </w:pPr>
      <w:r>
        <w:rPr>
          <w:rFonts w:ascii="Arial" w:cs="Arial" w:eastAsia="Arial" w:hAnsi="Arial"/>
          <w:b w:val="false"/>
          <w:bCs w:val="false"/>
          <w:i/>
          <w:iCs/>
          <w:color w:val="5B6B7D"/>
          <w:sz w:val="20"/>
          <w:szCs w:val="20"/>
        </w:rPr>
        <w:t xml:space="preserve">Three tabs in the template: Overview &amp; Narrative · Data Sources &amp; Feeds · Worked Example. The narrative tab uses key-value structure so your answers can be read programmatically by the data team. The data sources tab is a structured table — one row per file or feed you use today, with a column for additional notes and for the use case it relates to.</w:t>
      </w:r>
    </w:p>
    <w:p>
      <w:pPr>
        <w:spacing w:after="120" w:before="280"/>
      </w:pPr>
      <w:r>
        <w:rPr>
          <w:rFonts w:ascii="Arial" w:cs="Arial" w:eastAsia="Arial" w:hAnsi="Arial"/>
          <w:b/>
          <w:bCs/>
          <w:color w:val="2E5C8A"/>
          <w:sz w:val="26"/>
          <w:szCs w:val="26"/>
        </w:rPr>
        <w:t xml:space="preserve">Access — before you can do anything</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Analytics environment onboarding &amp; access link]</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BI tool onboarding &amp; access link]</w:t>
      </w:r>
    </w:p>
    <w:p>
      <w:pPr>
        <w:spacing w:after="120" w:before="280"/>
      </w:pPr>
      <w:r>
        <w:rPr>
          <w:rFonts w:ascii="Arial" w:cs="Arial" w:eastAsia="Arial" w:hAnsi="Arial"/>
          <w:b/>
          <w:bCs/>
          <w:color w:val="2E5C8A"/>
          <w:sz w:val="26"/>
          <w:szCs w:val="26"/>
        </w:rPr>
        <w:t xml:space="preserve">What happens after you submit</w:t>
      </w:r>
    </w:p>
    <w:p>
      <w:pPr>
        <w:spacing w:after="80" w:before="80"/>
        <w:jc w:val="left"/>
      </w:pPr>
      <w:r>
        <w:rPr>
          <w:rFonts w:ascii="Arial" w:cs="Arial" w:eastAsia="Arial" w:hAnsi="Arial"/>
          <w:b w:val="false"/>
          <w:bCs w:val="false"/>
          <w:i w:val="false"/>
          <w:iCs w:val="false"/>
          <w:color w:val="1E2A38"/>
          <w:sz w:val="22"/>
          <w:szCs w:val="22"/>
        </w:rPr>
        <w:t xml:space="preserve">Your intake is handed over to the data team and the relevant application teams. Your intake becomes the input to the work happening on the application side: entities you name become CDM entries; measures you describe inform the dimensional model; reports you currently use inform what the published data product needs to support.</w:t>
      </w:r>
    </w:p>
    <w:p>
      <w:pPr>
        <w:spacing w:after="80" w:before="80"/>
        <w:jc w:val="left"/>
      </w:pPr>
      <w:r>
        <w:rPr>
          <w:rFonts w:ascii="Arial" w:cs="Arial" w:eastAsia="Arial" w:hAnsi="Arial"/>
          <w:b w:val="false"/>
          <w:bCs w:val="false"/>
          <w:i w:val="false"/>
          <w:iCs w:val="false"/>
          <w:color w:val="1E2A38"/>
          <w:sz w:val="22"/>
          <w:szCs w:val="22"/>
        </w:rPr>
        <w:t xml:space="preserve">Your request gets priority. Even though application teams are continuously preparing data, a business request with named consumers and a clear use case focuses what gets built next.</w:t>
      </w:r>
    </w:p>
    <w:p>
      <w:pPr>
        <w:pageBreakBefore/>
        <w:pBdr>
          <w:top w:val="none" w:color="FFFFFF" w:sz="0"/>
          <w:left w:val="none" w:color="FFFFFF" w:sz="0"/>
          <w:bottom w:val="single" w:color="2E5C8A" w:sz="24" w:space="4"/>
          <w:right w:val="none" w:color="FFFFFF" w:sz="0"/>
        </w:pBdr>
        <w:spacing w:after="100" w:before="0"/>
      </w:pPr>
      <w:r>
        <w:rPr>
          <w:rFonts w:ascii="Arial" w:cs="Arial" w:eastAsia="Arial" w:hAnsi="Arial"/>
          <w:b/>
          <w:bCs/>
          <w:color w:val="2E5C8A"/>
          <w:sz w:val="36"/>
          <w:szCs w:val="36"/>
        </w:rPr>
        <w:t xml:space="preserve">Application / Data Product Canvas — page detail</w:t>
      </w:r>
    </w:p>
    <w:p>
      <w:pPr>
        <w:spacing w:after="160" w:before="60"/>
        <w:jc w:val="left"/>
      </w:pPr>
      <w:r>
        <w:rPr>
          <w:rFonts w:ascii="Arial" w:cs="Arial" w:eastAsia="Arial" w:hAnsi="Arial"/>
          <w:b w:val="false"/>
          <w:bCs w:val="false"/>
          <w:i/>
          <w:iCs/>
          <w:color w:val="5B6B7D"/>
          <w:sz w:val="22"/>
          <w:szCs w:val="22"/>
        </w:rPr>
        <w:t xml:space="preserve">This is what you'll see when you click through from the Application column on the main page.</w:t>
      </w:r>
    </w:p>
    <w:p>
      <w:pPr>
        <w:spacing w:after="160" w:before="160"/>
        <w:jc w:val="left"/>
      </w:pPr>
      <w:r>
        <w:rPr>
          <w:rFonts w:ascii="Arial" w:cs="Arial" w:eastAsia="Arial" w:hAnsi="Arial"/>
          <w:b w:val="false"/>
          <w:bCs w:val="false"/>
          <w:i w:val="false"/>
          <w:iCs w:val="false"/>
          <w:color w:val="1E2A38"/>
          <w:sz w:val="22"/>
          <w:szCs w:val="22"/>
        </w:rPr>
        <w:t xml:space="preserve">Application teams turn raw risk-generated data into certified, governed data products. The work runs continuously, even without specific business requests — entities get resolved, the CDM grows, products get published. A business request adds priority and direction.</w:t>
      </w:r>
    </w:p>
    <w:p>
      <w:pPr>
        <w:spacing w:after="120" w:before="280"/>
      </w:pPr>
      <w:r>
        <w:rPr>
          <w:rFonts w:ascii="Arial" w:cs="Arial" w:eastAsia="Arial" w:hAnsi="Arial"/>
          <w:b/>
          <w:bCs/>
          <w:color w:val="2E5C8A"/>
          <w:sz w:val="26"/>
          <w:szCs w:val="26"/>
        </w:rPr>
        <w:t xml:space="preserve">The seven steps (high-level)</w:t>
      </w:r>
    </w:p>
    <w:p>
      <w:pPr>
        <w:pStyle w:val="ListParagraph"/>
        <w:numPr>
          <w:ilvl w:val="0"/>
          <w:numId w:val="4"/>
        </w:numPr>
        <w:spacing w:after="40" w:before="40"/>
      </w:pPr>
      <w:r>
        <w:rPr>
          <w:rFonts w:ascii="Arial" w:cs="Arial" w:eastAsia="Arial" w:hAnsi="Arial"/>
          <w:b w:val="false"/>
          <w:bCs w:val="false"/>
          <w:color w:val="1E2A38"/>
          <w:sz w:val="22"/>
          <w:szCs w:val="22"/>
        </w:rPr>
        <w:t xml:space="preserve">Identify data to be moved — what data does this application generate that should be in the analytics environment?</w:t>
      </w:r>
    </w:p>
    <w:p>
      <w:pPr>
        <w:pStyle w:val="ListParagraph"/>
        <w:numPr>
          <w:ilvl w:val="0"/>
          <w:numId w:val="4"/>
        </w:numPr>
        <w:spacing w:after="40" w:before="40"/>
      </w:pPr>
      <w:r>
        <w:rPr>
          <w:rFonts w:ascii="Arial" w:cs="Arial" w:eastAsia="Arial" w:hAnsi="Arial"/>
          <w:b w:val="false"/>
          <w:bCs w:val="false"/>
          <w:color w:val="1E2A38"/>
          <w:sz w:val="22"/>
          <w:szCs w:val="22"/>
        </w:rPr>
        <w:t xml:space="preserve">Ingestion — load the data into the application's private space in the analytics environment</w:t>
      </w:r>
    </w:p>
    <w:p>
      <w:pPr>
        <w:pStyle w:val="ListParagraph"/>
        <w:numPr>
          <w:ilvl w:val="0"/>
          <w:numId w:val="4"/>
        </w:numPr>
        <w:spacing w:after="40" w:before="40"/>
      </w:pPr>
      <w:r>
        <w:rPr>
          <w:rFonts w:ascii="Arial" w:cs="Arial" w:eastAsia="Arial" w:hAnsi="Arial"/>
          <w:b w:val="false"/>
          <w:bCs w:val="false"/>
          <w:color w:val="1E2A38"/>
          <w:sz w:val="22"/>
          <w:szCs w:val="22"/>
        </w:rPr>
        <w:t xml:space="preserve">Resolve &amp; conform entities — within the application, identify the entities (counterparty, agreement, etc.) and resolve them to conformed definitions</w:t>
      </w:r>
    </w:p>
    <w:p>
      <w:pPr>
        <w:pStyle w:val="ListParagraph"/>
        <w:numPr>
          <w:ilvl w:val="0"/>
          <w:numId w:val="4"/>
        </w:numPr>
        <w:spacing w:after="40" w:before="40"/>
      </w:pPr>
      <w:r>
        <w:rPr>
          <w:rFonts w:ascii="Arial" w:cs="Arial" w:eastAsia="Arial" w:hAnsi="Arial"/>
          <w:b w:val="false"/>
          <w:bCs w:val="false"/>
          <w:color w:val="1E2A38"/>
          <w:sz w:val="22"/>
          <w:szCs w:val="22"/>
        </w:rPr>
        <w:t xml:space="preserve">Cross-app conformance — agree definitions with other applications producing the same entities. Reach the Risk Conformed state.</w:t>
      </w:r>
    </w:p>
    <w:p>
      <w:pPr>
        <w:pStyle w:val="ListParagraph"/>
        <w:numPr>
          <w:ilvl w:val="0"/>
          <w:numId w:val="4"/>
        </w:numPr>
        <w:spacing w:after="40" w:before="40"/>
      </w:pPr>
      <w:r>
        <w:rPr>
          <w:rFonts w:ascii="Arial" w:cs="Arial" w:eastAsia="Arial" w:hAnsi="Arial"/>
          <w:b w:val="false"/>
          <w:bCs w:val="false"/>
          <w:color w:val="1E2A38"/>
          <w:sz w:val="22"/>
          <w:szCs w:val="22"/>
        </w:rPr>
        <w:t xml:space="preserve">Data Product Canvas — fill in the canvas for each report being turned into a data product (see two-panel detail below)</w:t>
      </w:r>
    </w:p>
    <w:p>
      <w:pPr>
        <w:pStyle w:val="ListParagraph"/>
        <w:numPr>
          <w:ilvl w:val="0"/>
          <w:numId w:val="4"/>
        </w:numPr>
        <w:spacing w:after="40" w:before="40"/>
      </w:pPr>
      <w:r>
        <w:rPr>
          <w:rFonts w:ascii="Arial" w:cs="Arial" w:eastAsia="Arial" w:hAnsi="Arial"/>
          <w:b w:val="false"/>
          <w:bCs w:val="false"/>
          <w:color w:val="1E2A38"/>
          <w:sz w:val="22"/>
          <w:szCs w:val="22"/>
        </w:rPr>
        <w:t xml:space="preserve">CDM &amp; dimensional model — contribute to the canonical model and, where relevant, the dimensional model</w:t>
      </w:r>
    </w:p>
    <w:p>
      <w:pPr>
        <w:pStyle w:val="ListParagraph"/>
        <w:numPr>
          <w:ilvl w:val="0"/>
          <w:numId w:val="4"/>
        </w:numPr>
        <w:spacing w:after="40" w:before="40"/>
      </w:pPr>
      <w:r>
        <w:rPr>
          <w:rFonts w:ascii="Arial" w:cs="Arial" w:eastAsia="Arial" w:hAnsi="Arial"/>
          <w:b w:val="false"/>
          <w:bCs w:val="false"/>
          <w:color w:val="1E2A38"/>
          <w:sz w:val="22"/>
          <w:szCs w:val="22"/>
        </w:rPr>
        <w:t xml:space="preserve">Publish to risk_warehouse — contract + data product + conformed entities pushed to the business-facing layer</w:t>
      </w:r>
    </w:p>
    <w:p>
      <w:pPr>
        <w:spacing w:after="120" w:before="280"/>
      </w:pPr>
      <w:r>
        <w:rPr>
          <w:rFonts w:ascii="Arial" w:cs="Arial" w:eastAsia="Arial" w:hAnsi="Arial"/>
          <w:b/>
          <w:bCs/>
          <w:color w:val="2E5C8A"/>
          <w:sz w:val="26"/>
          <w:szCs w:val="26"/>
        </w:rPr>
        <w:t xml:space="preserve">Supporting material — what you'll need for each step</w:t>
      </w:r>
    </w:p>
    <w:p>
      <w:pPr>
        <w:spacing w:after="80" w:before="80"/>
        <w:jc w:val="left"/>
      </w:pPr>
      <w:r>
        <w:rPr>
          <w:rFonts w:ascii="Arial" w:cs="Arial" w:eastAsia="Arial" w:hAnsi="Arial"/>
          <w:b w:val="false"/>
          <w:bCs w:val="false"/>
          <w:i/>
          <w:iCs/>
          <w:color w:val="5B6B7D"/>
          <w:sz w:val="20"/>
          <w:szCs w:val="20"/>
        </w:rPr>
        <w:t xml:space="preserve">All the supporting standards and how-to pages are already published. The links below are placeholders for the existing pages — they don't need to be re-created.</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Naming conventions page]</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Structural conformance page]</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Data conformance / Risk Conformed standard]</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CDM &amp; Dimensional Model documentation]</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Publishing to risk_warehouse — checklist]</w:t>
      </w:r>
    </w:p>
    <w:p>
      <w:pPr>
        <w:spacing w:after="120" w:before="280"/>
      </w:pPr>
      <w:r>
        <w:rPr>
          <w:rFonts w:ascii="Arial" w:cs="Arial" w:eastAsia="Arial" w:hAnsi="Arial"/>
          <w:b/>
          <w:bCs/>
          <w:color w:val="2E5C8A"/>
          <w:sz w:val="26"/>
          <w:szCs w:val="26"/>
        </w:rPr>
        <w:t xml:space="preserve">The Data Product Canvas — the design template</w:t>
      </w:r>
    </w:p>
    <w:p>
      <w:pPr>
        <w:pBdr>
          <w:top w:val="single" w:color="EBF2FA" w:sz="2"/>
          <w:left w:val="single" w:color="2E5C8A" w:sz="24" w:space="8"/>
          <w:bottom w:val="single" w:color="EBF2FA" w:sz="2"/>
          <w:right w:val="single" w:color="EBF2FA" w:sz="2"/>
        </w:pBdr>
        <w:shd w:fill="EBF2FA" w:val="clear"/>
        <w:spacing w:after="200" w:before="200"/>
        <w:ind w:left="200"/>
      </w:pPr>
      <w:r>
        <w:rPr>
          <w:rFonts w:ascii="Arial" w:cs="Arial" w:eastAsia="Arial" w:hAnsi="Arial"/>
          <w:b/>
          <w:bCs/>
          <w:color w:val="2E5C8A"/>
          <w:sz w:val="22"/>
          <w:szCs w:val="22"/>
        </w:rPr>
        <w:t xml:space="preserve">Industry grounding. </w:t>
      </w:r>
      <w:r>
        <w:rPr>
          <w:rFonts w:ascii="Arial" w:cs="Arial" w:eastAsia="Arial" w:hAnsi="Arial"/>
          <w:color w:val="2E5C8A"/>
          <w:sz w:val="22"/>
          <w:szCs w:val="22"/>
        </w:rPr>
        <w:t xml:space="preserve">The canvas is the INNOQ Data Product Canvas (CC BY 4.0), the established pattern in the data mesh community. We've extended it with TD's nine v8 contract sections so the canvas content flows directly into the published contract.</w:t>
      </w:r>
    </w:p>
    <w:p>
      <w:pPr>
        <w:spacing w:after="100" w:before="160"/>
        <w:jc w:val="left"/>
      </w:pPr>
      <w:r>
        <w:rPr>
          <w:rFonts w:ascii="Arial" w:cs="Arial" w:eastAsia="Arial" w:hAnsi="Arial"/>
          <w:b w:val="false"/>
          <w:bCs w:val="false"/>
          <w:i w:val="false"/>
          <w:iCs w:val="false"/>
          <w:color w:val="1E2A38"/>
          <w:sz w:val="22"/>
          <w:szCs w:val="22"/>
        </w:rPr>
        <w:t xml:space="preserve">Two Word files. Use the blank template; the worked example is available alongside as a reference.</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Data Product Canvas template (Word — blank)]</w:t>
      </w:r>
    </w:p>
    <w:p>
      <w:pPr>
        <w:pBdr>
          <w:top w:val="dashed" w:color="B9772A" w:sz="4"/>
          <w:left w:val="dashed" w:color="B9772A" w:sz="4"/>
          <w:bottom w:val="dashed" w:color="B9772A" w:sz="4"/>
          <w:right w:val="dashed" w:color="B9772A" w:sz="4"/>
        </w:pBdr>
        <w:shd w:fill="FDF5E0" w:val="clear"/>
        <w:spacing w:after="40" w:before="40"/>
        <w:ind w:left="360"/>
      </w:pPr>
      <w:r>
        <w:rPr>
          <w:rFonts w:ascii="Arial" w:cs="Arial" w:eastAsia="Arial" w:hAnsi="Arial"/>
          <w:i/>
          <w:iCs/>
          <w:color w:val="B9772A"/>
          <w:sz w:val="20"/>
          <w:szCs w:val="20"/>
        </w:rPr>
        <w:t xml:space="preserve">[PLACEHOLDER — Data Product Canvas worked example (Exposure by Counterparty)]</w:t>
      </w:r>
    </w:p>
    <w:p>
      <w:pPr>
        <w:spacing w:after="120" w:before="280"/>
      </w:pPr>
      <w:r>
        <w:rPr>
          <w:rFonts w:ascii="Arial" w:cs="Arial" w:eastAsia="Arial" w:hAnsi="Arial"/>
          <w:b/>
          <w:bCs/>
          <w:color w:val="2E5C8A"/>
          <w:sz w:val="26"/>
          <w:szCs w:val="26"/>
        </w:rPr>
        <w:t xml:space="preserve">How the canvas maps to TD's v8 contract sections</w:t>
      </w:r>
    </w:p>
    <w:p>
      <w:pPr>
        <w:spacing w:after="160" w:before="60"/>
        <w:jc w:val="left"/>
      </w:pPr>
      <w:r>
        <w:rPr>
          <w:rFonts w:ascii="Arial" w:cs="Arial" w:eastAsia="Arial" w:hAnsi="Arial"/>
          <w:b w:val="false"/>
          <w:bCs w:val="false"/>
          <w:i/>
          <w:iCs/>
          <w:color w:val="5B6B7D"/>
          <w:sz w:val="20"/>
          <w:szCs w:val="20"/>
        </w:rPr>
        <w:t xml:space="preserve">Left column: the eight blocks of the canvas. Right column: which v8 contract section each block feeds.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4320"/>
        <w:gridCol w:w="2880"/>
      </w:tblGrid>
      <w:tr>
        <w:trPr>
          <w:tblHeader/>
        </w:trPr>
        <w:tc>
          <w:tcPr>
            <w:tcW w:type="dxa" w:w="2880"/>
            <w:tcBorders>
              <w:top w:val="single" w:color="D0D7DE" w:sz="4"/>
              <w:left w:val="single" w:color="D0D7DE" w:sz="4"/>
              <w:bottom w:val="single" w:color="D0D7DE" w:sz="4"/>
              <w:right w:val="single" w:color="D0D7DE" w:sz="4"/>
            </w:tcBorders>
            <w:shd w:fill="2E5C8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Canvas Block</w:t>
            </w:r>
          </w:p>
        </w:tc>
        <w:tc>
          <w:tcPr>
            <w:tcW w:type="dxa" w:w="4320"/>
            <w:tcBorders>
              <w:top w:val="single" w:color="D0D7DE" w:sz="4"/>
              <w:left w:val="single" w:color="D0D7DE" w:sz="4"/>
              <w:bottom w:val="single" w:color="D0D7DE" w:sz="4"/>
              <w:right w:val="single" w:color="D0D7DE" w:sz="4"/>
            </w:tcBorders>
            <w:shd w:fill="2E5C8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What goes in it</w:t>
            </w:r>
          </w:p>
        </w:tc>
        <w:tc>
          <w:tcPr>
            <w:tcW w:type="dxa" w:w="2880"/>
            <w:tcBorders>
              <w:top w:val="single" w:color="D0D7DE" w:sz="4"/>
              <w:left w:val="single" w:color="D0D7DE" w:sz="4"/>
              <w:bottom w:val="single" w:color="D0D7DE" w:sz="4"/>
              <w:right w:val="single" w:color="D0D7DE" w:sz="4"/>
            </w:tcBorders>
            <w:shd w:fill="2E5C8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v8 Contract Section</w:t>
            </w:r>
          </w:p>
        </w:tc>
      </w:tr>
      <w:tr>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bCs/>
                <w:i w:val="false"/>
                <w:iCs w:val="false"/>
                <w:color w:val="2F8F5B"/>
                <w:sz w:val="20"/>
                <w:szCs w:val="20"/>
              </w:rPr>
              <w:t xml:space="preserve">1. Domain</w:t>
            </w:r>
          </w:p>
        </w:tc>
        <w:tc>
          <w:tcPr>
            <w:tcW w:type="dxa" w:w="432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E2A38"/>
                <w:sz w:val="20"/>
                <w:szCs w:val="20"/>
              </w:rPr>
              <w:t xml:space="preserve">Which TD risk LOB owns this product. e.g. credit_risk</w:t>
            </w:r>
          </w:p>
        </w:tc>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iCs/>
                <w:color w:val="1E2A38"/>
                <w:sz w:val="20"/>
                <w:szCs w:val="20"/>
              </w:rPr>
              <w:t xml:space="preserve">§ 1: x-producer_domain</w:t>
            </w:r>
          </w:p>
        </w:tc>
      </w:tr>
      <w:tr>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bCs/>
                <w:i w:val="false"/>
                <w:iCs w:val="false"/>
                <w:color w:val="2F8F5B"/>
                <w:sz w:val="20"/>
                <w:szCs w:val="20"/>
              </w:rPr>
              <w:t xml:space="preserve">2. Data Product Name</w:t>
            </w:r>
          </w:p>
        </w:tc>
        <w:tc>
          <w:tcPr>
            <w:tcW w:type="dxa" w:w="432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E2A38"/>
                <w:sz w:val="20"/>
                <w:szCs w:val="20"/>
              </w:rPr>
              <w:t xml:space="preserve">Stable ID + display name. e.g. exposure_by_counterparty</w:t>
            </w:r>
          </w:p>
        </w:tc>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iCs/>
                <w:color w:val="1E2A38"/>
                <w:sz w:val="20"/>
                <w:szCs w:val="20"/>
              </w:rPr>
              <w:t xml:space="preserve">§ 1: id, name</w:t>
            </w:r>
          </w:p>
        </w:tc>
      </w:tr>
      <w:tr>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bCs/>
                <w:i w:val="false"/>
                <w:iCs w:val="false"/>
                <w:color w:val="2F8F5B"/>
                <w:sz w:val="20"/>
                <w:szCs w:val="20"/>
              </w:rPr>
              <w:t xml:space="preserve">3. Consumer &amp; Use Case</w:t>
            </w:r>
          </w:p>
        </w:tc>
        <w:tc>
          <w:tcPr>
            <w:tcW w:type="dxa" w:w="432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E2A38"/>
                <w:sz w:val="20"/>
                <w:szCs w:val="20"/>
              </w:rPr>
              <w:t xml:space="preserve">Who needs this and what for. Direct input from Business Intake.</w:t>
            </w:r>
          </w:p>
        </w:tc>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iCs/>
                <w:color w:val="1E2A38"/>
                <w:sz w:val="20"/>
                <w:szCs w:val="20"/>
              </w:rPr>
              <w:t xml:space="preserve">§ 2: description.purpose</w:t>
            </w:r>
          </w:p>
        </w:tc>
      </w:tr>
      <w:tr>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bCs/>
                <w:i w:val="false"/>
                <w:iCs w:val="false"/>
                <w:color w:val="2F8F5B"/>
                <w:sz w:val="20"/>
                <w:szCs w:val="20"/>
              </w:rPr>
              <w:t xml:space="preserve">4. Data Contract</w:t>
            </w:r>
          </w:p>
        </w:tc>
        <w:tc>
          <w:tcPr>
            <w:tcW w:type="dxa" w:w="432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E2A38"/>
                <w:sz w:val="20"/>
                <w:szCs w:val="20"/>
              </w:rPr>
              <w:t xml:space="preserve">Output interface — schema, grain, measures, SLA, quality, change policy</w:t>
            </w:r>
          </w:p>
        </w:tc>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iCs/>
                <w:color w:val="1E2A38"/>
                <w:sz w:val="20"/>
                <w:szCs w:val="20"/>
              </w:rPr>
              <w:t xml:space="preserve">§§ 4 (Schema), 5 (SLA), 6 (Quality), 7 (Change Policy)</w:t>
            </w:r>
          </w:p>
        </w:tc>
      </w:tr>
      <w:tr>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bCs/>
                <w:i w:val="false"/>
                <w:iCs w:val="false"/>
                <w:color w:val="2F8F5B"/>
                <w:sz w:val="20"/>
                <w:szCs w:val="20"/>
              </w:rPr>
              <w:t xml:space="preserve">5. Sources</w:t>
            </w:r>
          </w:p>
        </w:tc>
        <w:tc>
          <w:tcPr>
            <w:tcW w:type="dxa" w:w="432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E2A38"/>
                <w:sz w:val="20"/>
                <w:szCs w:val="20"/>
              </w:rPr>
              <w:t xml:space="preserve">Input ports — upstream apps, tables, reference data, conformed entities used</w:t>
            </w:r>
          </w:p>
        </w:tc>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iCs/>
                <w:color w:val="1E2A38"/>
                <w:sz w:val="20"/>
                <w:szCs w:val="20"/>
              </w:rPr>
              <w:t xml:space="preserve">§ 10 deferred: x-reference_dependencies, x-domain_entities</w:t>
            </w:r>
          </w:p>
        </w:tc>
      </w:tr>
      <w:tr>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bCs/>
                <w:i w:val="false"/>
                <w:iCs w:val="false"/>
                <w:color w:val="2F8F5B"/>
                <w:sz w:val="20"/>
                <w:szCs w:val="20"/>
              </w:rPr>
              <w:t xml:space="preserve">6. Data Product Architecture</w:t>
            </w:r>
          </w:p>
        </w:tc>
        <w:tc>
          <w:tcPr>
            <w:tcW w:type="dxa" w:w="432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E2A38"/>
                <w:sz w:val="20"/>
                <w:szCs w:val="20"/>
              </w:rPr>
              <w:t xml:space="preserve">Internals — how the data is ingested, transformed, stored within the app</w:t>
            </w:r>
          </w:p>
        </w:tc>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iCs/>
                <w:color w:val="1E2A38"/>
                <w:sz w:val="20"/>
                <w:szCs w:val="20"/>
              </w:rPr>
              <w:t xml:space="preserve">Not in contract; documented in the product page</w:t>
            </w:r>
          </w:p>
        </w:tc>
      </w:tr>
      <w:tr>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bCs/>
                <w:i w:val="false"/>
                <w:iCs w:val="false"/>
                <w:color w:val="2F8F5B"/>
                <w:sz w:val="20"/>
                <w:szCs w:val="20"/>
              </w:rPr>
              <w:t xml:space="preserve">7. Ubiquitous Language</w:t>
            </w:r>
          </w:p>
        </w:tc>
        <w:tc>
          <w:tcPr>
            <w:tcW w:type="dxa" w:w="432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E2A38"/>
                <w:sz w:val="20"/>
                <w:szCs w:val="20"/>
              </w:rPr>
              <w:t xml:space="preserve">Domain terminology shared between business and tech for this product</w:t>
            </w:r>
          </w:p>
        </w:tc>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iCs/>
                <w:color w:val="1E2A38"/>
                <w:sz w:val="20"/>
                <w:szCs w:val="20"/>
              </w:rPr>
              <w:t xml:space="preserve">§ 4: schema.properties[].description</w:t>
            </w:r>
          </w:p>
        </w:tc>
      </w:tr>
      <w:tr>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bCs/>
                <w:i w:val="false"/>
                <w:iCs w:val="false"/>
                <w:color w:val="2F8F5B"/>
                <w:sz w:val="20"/>
                <w:szCs w:val="20"/>
              </w:rPr>
              <w:t xml:space="preserve">8. Classification</w:t>
            </w:r>
          </w:p>
        </w:tc>
        <w:tc>
          <w:tcPr>
            <w:tcW w:type="dxa" w:w="432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E2A38"/>
                <w:sz w:val="20"/>
                <w:szCs w:val="20"/>
              </w:rPr>
              <w:t xml:space="preserve">foundational · derived · consumer-aligned (canvas) + sensitivity tier</w:t>
            </w:r>
          </w:p>
        </w:tc>
        <w:tc>
          <w:tcPr>
            <w:tcW w:type="dxa" w:w="288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i/>
                <w:iCs/>
                <w:color w:val="1E2A38"/>
                <w:sz w:val="20"/>
                <w:szCs w:val="20"/>
              </w:rPr>
              <w:t xml:space="preserve">§ 1: x-archetype  ·  § 8: x-classification</w:t>
            </w:r>
          </w:p>
        </w:tc>
      </w:tr>
    </w:tbl>
    <w:p>
      <w:pPr>
        <w:spacing w:after="120" w:before="280"/>
      </w:pPr>
      <w:r>
        <w:rPr>
          <w:rFonts w:ascii="Arial" w:cs="Arial" w:eastAsia="Arial" w:hAnsi="Arial"/>
          <w:b/>
          <w:bCs/>
          <w:color w:val="2E5C8A"/>
          <w:sz w:val="26"/>
          <w:szCs w:val="26"/>
        </w:rPr>
        <w:t xml:space="preserve">Worked example</w:t>
      </w:r>
    </w:p>
    <w:p>
      <w:pPr>
        <w:spacing w:after="80" w:before="80"/>
        <w:jc w:val="left"/>
      </w:pPr>
      <w:r>
        <w:rPr>
          <w:rFonts w:ascii="Arial" w:cs="Arial" w:eastAsia="Arial" w:hAnsi="Arial"/>
          <w:b w:val="false"/>
          <w:bCs w:val="false"/>
          <w:i w:val="false"/>
          <w:iCs w:val="false"/>
          <w:color w:val="1E2A38"/>
          <w:sz w:val="22"/>
          <w:szCs w:val="22"/>
        </w:rPr>
        <w:t xml:space="preserve">See a filled-in canvas + v8 contract YAML for the running example: Exposure by Counterparty (the Counterparty Credit Risk reporting use case). The example is available alongside the blank template above.</w:t>
      </w:r>
    </w:p>
    <w:p>
      <w:pPr>
        <w:spacing w:after="100" w:before="160"/>
        <w:jc w:val="left"/>
      </w:pPr>
      <w:r>
        <w:rPr>
          <w:rFonts w:ascii="Arial" w:cs="Arial" w:eastAsia="Arial" w:hAnsi="Arial"/>
          <w:b w:val="false"/>
          <w:bCs w:val="false"/>
          <w:i w:val="false"/>
          <w:iCs w:val="false"/>
          <w:color w:val="1E2A38"/>
          <w:sz w:val="22"/>
          <w:szCs w:val="22"/>
        </w:rPr>
        <w:t xml:space="preserve">All certified data products are listed in the Products catalog. Each product has its own sub-page carrying its canvas, sources mapping, links to its business intake and v8 contract, and change log.</w:t>
      </w:r>
    </w:p>
    <w:p>
      <w:pPr>
        <w:spacing w:after="40" w:before="40"/>
      </w:pPr>
      <w:r>
        <w:rPr>
          <w:rFonts w:ascii="Arial" w:cs="Arial" w:eastAsia="Arial" w:hAnsi="Arial"/>
          <w:b/>
          <w:bCs/>
          <w:color w:val="2E5C8A"/>
          <w:sz w:val="22"/>
          <w:szCs w:val="22"/>
        </w:rPr>
        <w:t xml:space="preserve">→ </w:t>
      </w:r>
      <w:hyperlink w:history="1" r:id="rIdugeyo4k_hr_8nr_eslxbz">
        <w:r>
          <w:rPr>
            <w:rFonts w:ascii="Arial" w:cs="Arial" w:eastAsia="Arial" w:hAnsi="Arial"/>
            <w:color w:val="2E5C8A"/>
            <w:sz w:val="22"/>
            <w:szCs w:val="22"/>
            <w:u w:val="single"/>
          </w:rPr>
          <w:t xml:space="preserve">Products catalog (Confluence)</w:t>
        </w:r>
      </w:hyperlink>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7D"/>
        <w:sz w:val="16"/>
        <w:szCs w:val="16"/>
      </w:rPr>
      <w:t xml:space="preserve">Onboarding to the Risk Analytics Environment  ·  TD Risk Data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kslabjh7t1mllwoxnrzc" Type="http://schemas.openxmlformats.org/officeDocument/2006/relationships/hyperlink" Target="https://[INSERT_LINK_PRODUCTS_CATALOG]" TargetMode="External"/><Relationship Id="rIdugeyo4k_hr_8nr_eslxbz" Type="http://schemas.openxmlformats.org/officeDocument/2006/relationships/hyperlink" Target="https://[INSERT_LINK_PRODUCTS_CATALO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to the Risk Analytics Environment</dc:title>
  <dc:creator>TD Risk Data Platform</dc:creator>
  <dc:description>Three-stream onboarding overview with click-through detail pages for Business Intake and Application / Canvas.</dc:description>
  <cp:lastModifiedBy>Un-named</cp:lastModifiedBy>
  <cp:revision>1</cp:revision>
  <dcterms:created xsi:type="dcterms:W3CDTF">2026-05-25T16:00:33.916Z</dcterms:created>
  <dcterms:modified xsi:type="dcterms:W3CDTF">2026-05-25T16:00:33.916Z</dcterms:modified>
</cp:coreProperties>
</file>

<file path=docProps/custom.xml><?xml version="1.0" encoding="utf-8"?>
<Properties xmlns="http://schemas.openxmlformats.org/officeDocument/2006/custom-properties" xmlns:vt="http://schemas.openxmlformats.org/officeDocument/2006/docPropsVTypes"/>
</file>