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b/>
          <w:bCs/>
          <w:color w:val="2E5C8A"/>
          <w:sz w:val="44"/>
          <w:szCs w:val="44"/>
        </w:rPr>
        <w:t xml:space="preserve">Data Modelling for Risk</w:t>
      </w:r>
    </w:p>
    <w:p>
      <w:pPr>
        <w:spacing w:after="120" w:before="0"/>
      </w:pPr>
      <w:r>
        <w:rPr>
          <w:i/>
          <w:iCs/>
          <w:color w:val="5B6B7D"/>
          <w:sz w:val="24"/>
          <w:szCs w:val="24"/>
        </w:rPr>
        <w:t xml:space="preserve">A practical guide — from application reports to a connected model</w:t>
      </w:r>
    </w:p>
    <w:p>
      <w:pPr>
        <w:pBdr>
          <w:bottom w:val="single" w:color="2E5C8A" w:sz="12" w:space="1"/>
        </w:pBdr>
        <w:spacing w:after="240" w:before="0"/>
      </w:pPr>
      <w:r>
        <w:t xml:space="preserve"/>
      </w:r>
    </w:p>
    <w:p>
      <w:pPr>
        <w:spacing w:after="80" w:before="80" w:line="300"/>
      </w:pPr>
      <w:r>
        <w:rPr>
          <w:sz w:val="22"/>
          <w:szCs w:val="22"/>
        </w:rPr>
        <w:t xml:space="preserve">This page describes how risk data moves from where it lives today — as application reports and extracts — to a connected, conformed model that an analytics platform and the enterprise data layer can rely on. The work is to give structure to data that risk applications already produce. Collateral data, produced by the CMOS application, is used as the worked example throughout.</w:t>
      </w:r>
    </w:p>
    <w:p>
      <w:pPr>
        <w:spacing w:after="80" w:before="80" w:line="300"/>
      </w:pPr>
      <w:r>
        <w:rPr>
          <w:sz w:val="22"/>
          <w:szCs w:val="22"/>
        </w:rPr>
        <w:t xml:space="preserve">This page is for application and data teams in risk — anyone whose system produces data that is consumed somewhere downstream. No prior data modelling background is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C8A" w:sz="24"/>
              <w:bottom w:val="none" w:color="FFFFFF" w:sz="0"/>
              <w:right w:val="none" w:color="FFFFFF" w:sz="0"/>
            </w:tcBorders>
            <w:shd w:fill="EAF1F8" w:val="clear"/>
            <w:tcMar>
              <w:top w:type="dxa" w:w="180"/>
              <w:left w:type="dxa" w:w="260"/>
              <w:bottom w:type="dxa" w:w="180"/>
              <w:right w:type="dxa" w:w="200"/>
            </w:tcMar>
          </w:tcPr>
          <w:p>
            <w:pPr>
              <w:spacing w:after="40" w:before="40" w:line="300"/>
            </w:pPr>
            <w:r>
              <w:rPr>
                <w:b/>
                <w:bCs/>
                <w:sz w:val="22"/>
                <w:szCs w:val="22"/>
              </w:rPr>
              <w:t xml:space="preserve">On this page: </w:t>
            </w:r>
            <w:r>
              <w:rPr>
                <w:sz w:val="22"/>
                <w:szCs w:val="22"/>
              </w:rPr>
              <w:t xml:space="preserve">the starting point today, what is inside a report row, how an analytical model is shaped, how conformance makes cross-application data comparable, and how the three models — Report, Dimensional, Canonical — connect.</w:t>
            </w:r>
          </w:p>
          <w:p>
            <w:pPr>
              <w:spacing w:after="40" w:before="40" w:line="300"/>
            </w:pPr>
            <w:r>
              <w:rPr>
                <w:sz w:val="22"/>
                <w:szCs w:val="22"/>
              </w:rPr>
              <w:t xml:space="preserve">Sub-pages cover </w:t>
            </w:r>
            <w:r>
              <w:rPr>
                <w:i/>
                <w:iCs/>
                <w:sz w:val="22"/>
                <w:szCs w:val="22"/>
              </w:rPr>
              <w:t xml:space="preserve">conformance in depth, how the data contract is composed, and the move from query-based to model-based consumption.</w:t>
            </w:r>
          </w:p>
        </w:tc>
      </w:tr>
    </w:tbl>
    <w:p>
      <w:pPr>
        <w:pStyle w:val="Heading2"/>
        <w:spacing w:after="160" w:before="320"/>
      </w:pPr>
      <w:r>
        <w:rPr>
          <w:b/>
          <w:bCs/>
          <w:color w:val="2E5C8A"/>
          <w:sz w:val="28"/>
          <w:szCs w:val="28"/>
        </w:rPr>
        <w:t xml:space="preserve">A brief note on collateral</w:t>
      </w:r>
    </w:p>
    <w:p>
      <w:pPr>
        <w:spacing w:after="80" w:before="80" w:line="300"/>
      </w:pPr>
      <w:r>
        <w:rPr>
          <w:sz w:val="22"/>
          <w:szCs w:val="22"/>
        </w:rPr>
        <w:t xml:space="preserve">Collateral, in the counterparty credit risk context, refers to assets posted between TD and its counterparties to mitigate exposure on derivative trades. When a counterparty owes TD more than an agreed threshold under a netting agreement, they post collateral to cover that exposure. The exposure is recalculated daily; collateral movements follow. The Collateral Management Operations System (CMOS) is the application of record at TD for these activities — it produces the exposure calculations, the margin call instructions, the settlement records, and the dispute log.</w:t>
      </w:r>
    </w:p>
    <w:p>
      <w:pPr>
        <w:spacing w:after="80" w:before="80" w:line="300"/>
      </w:pPr>
      <w:r>
        <w:rPr>
          <w:sz w:val="22"/>
          <w:szCs w:val="22"/>
        </w:rPr>
        <w:t xml:space="preserve">CMOS is used as the worked example on this page because its data is concrete, the reports it produces are familiar to most risk teams, and it touches multiple risk domains — credit risk, market risk, regulatory reporting. The modelling concepts described here apply equally to other risk applications.</w:t>
      </w:r>
    </w:p>
    <w:p>
      <w:pPr>
        <w:pStyle w:val="Heading2"/>
        <w:spacing w:after="160" w:before="320"/>
      </w:pPr>
      <w:r>
        <w:rPr>
          <w:b/>
          <w:bCs/>
          <w:color w:val="2E5C8A"/>
          <w:sz w:val="28"/>
          <w:szCs w:val="28"/>
        </w:rPr>
        <w:t xml:space="preserve">The shift we are making</w:t>
      </w:r>
    </w:p>
    <w:p>
      <w:pPr>
        <w:spacing w:after="80" w:before="80" w:line="300"/>
      </w:pPr>
      <w:r>
        <w:rPr>
          <w:sz w:val="22"/>
          <w:szCs w:val="22"/>
        </w:rPr>
        <w:t xml:space="preserve">Risk data today is shaped around individual applications. Each application produces its own reports and extracts, modelled for one immediate use case. The same business concept — counterparty, agreement, asset class — appears in different forms across applications, and downstream consumers spend significant effort reconciling them.</w:t>
      </w:r>
    </w:p>
    <w:p>
      <w:pPr>
        <w:spacing w:after="80" w:before="80" w:line="300"/>
      </w:pPr>
      <w:r>
        <w:rPr>
          <w:sz w:val="22"/>
          <w:szCs w:val="22"/>
        </w:rPr>
        <w:t xml:space="preserve">The direction we are moving in is a connected model. Entities are defined once and used consistently across applications. The data is organised so that an analytics platform can query it directly, and so that conformed entities feed the enterprise canonical data model. The shift is incremental: none of this requires a rebuild of the source applications. It requires giving structure to data the applications already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Today</w:t>
            </w:r>
          </w:p>
        </w:tc>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Target state</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Each application produces its own reports and extracts.</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Entities defined once, used consistently across applications.</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Data shaped around one application, one use case.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 dimensional model an analytics platform can query directly.</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The same business concept named differently across systems.</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A canonical model that feeds the enterprise data layer.</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Every new question routes back to a developer.</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Governed data products with contracts, lineage, and ownership.</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Cross-application joins are unreliable.</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Cross-application joins reconcile because entities are conformed.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The shift — application-centric reports to a connected model ]</w:t>
            </w:r>
          </w:p>
          <w:p>
            <w:pPr>
              <w:spacing w:after="40" w:before="40"/>
            </w:pPr>
            <w:r>
              <w:rPr>
                <w:i/>
                <w:iCs/>
                <w:color w:val="5B6B7D"/>
                <w:sz w:val="20"/>
                <w:szCs w:val="20"/>
              </w:rPr>
              <w:t xml:space="preserve">Source: Deck slide 2</w:t>
            </w:r>
          </w:p>
          <w:p>
            <w:pPr>
              <w:spacing w:after="40" w:before="40"/>
            </w:pPr>
            <w:r>
              <w:rPr>
                <w:color w:val="5B6B7D"/>
                <w:sz w:val="20"/>
                <w:szCs w:val="20"/>
              </w:rPr>
              <w:t xml:space="preserve">Two-column comparison: today's report-centric world on the left, target connected model on the right, with the modelling artefacts that sit between them.</w:t>
            </w:r>
          </w:p>
        </w:tc>
      </w:tr>
    </w:tbl>
    <w:p>
      <w:pPr>
        <w:pStyle w:val="Heading2"/>
        <w:spacing w:after="160" w:before="320"/>
      </w:pPr>
      <w:r>
        <w:rPr>
          <w:b/>
          <w:bCs/>
          <w:color w:val="2E5C8A"/>
          <w:sz w:val="28"/>
          <w:szCs w:val="28"/>
        </w:rPr>
        <w:t xml:space="preserve">A starting point — the collateral application today</w:t>
      </w:r>
    </w:p>
    <w:p>
      <w:pPr>
        <w:spacing w:after="80" w:before="80" w:line="300"/>
      </w:pPr>
      <w:r>
        <w:rPr>
          <w:sz w:val="22"/>
          <w:szCs w:val="22"/>
        </w:rPr>
        <w:t xml:space="preserve">CMOS produces its data as a set of reports plus a domain extract. The reports are flat CSV files; the extract is a nested JSON document at counterparty level, sourced from the CMOS and TAMS APIs.</w:t>
      </w:r>
    </w:p>
    <w:p>
      <w:pPr>
        <w:pStyle w:val="Heading3"/>
        <w:spacing w:after="100" w:before="240"/>
      </w:pPr>
      <w:r>
        <w:rPr>
          <w:b/>
          <w:bCs/>
          <w:color w:val="1E2A38"/>
          <w:sz w:val="24"/>
          <w:szCs w:val="24"/>
        </w:rPr>
        <w:t xml:space="preserve">Available files</w:t>
      </w:r>
    </w:p>
    <w:p>
      <w:pPr>
        <w:spacing w:after="80" w:before="80" w:line="300"/>
      </w:pPr>
      <w:r>
        <w:rPr>
          <w:sz w:val="22"/>
          <w:szCs w:val="22"/>
        </w:rPr>
        <w:t xml:space="preserve">The files below are the actual outputs from CMOS today. The page references them throughout.</w:t>
      </w:r>
    </w:p>
    <w:p>
      <w:pPr>
        <w:spacing w:after="40" w:before="40"/>
      </w:pPr>
      <w:r>
        <w:rPr>
          <w:sz w:val="22"/>
          <w:szCs w:val="22"/>
        </w:rPr>
        <w:t xml:space="preserve">🔗 </w:t>
      </w:r>
      <w:r>
        <w:rPr>
          <w:i/>
          <w:iCs/>
          <w:color w:val="2E5C8A"/>
          <w:sz w:val="22"/>
          <w:szCs w:val="22"/>
        </w:rPr>
        <w:t xml:space="preserve">[Link to attach in Confluence: Daily Exposure — CSV (margin call events, one row per call)]</w:t>
      </w:r>
    </w:p>
    <w:p>
      <w:pPr>
        <w:spacing w:after="40" w:before="40"/>
      </w:pPr>
      <w:r>
        <w:rPr>
          <w:sz w:val="22"/>
          <w:szCs w:val="22"/>
        </w:rPr>
        <w:t xml:space="preserve">🔗 </w:t>
      </w:r>
      <w:r>
        <w:rPr>
          <w:i/>
          <w:iCs/>
          <w:color w:val="2E5C8A"/>
          <w:sz w:val="22"/>
          <w:szCs w:val="22"/>
        </w:rPr>
        <w:t xml:space="preserve">[Link to attach in Confluence: Disputes — CSV (open and resolved disputes)]</w:t>
      </w:r>
    </w:p>
    <w:p>
      <w:pPr>
        <w:spacing w:after="40" w:before="40"/>
      </w:pPr>
      <w:r>
        <w:rPr>
          <w:sz w:val="22"/>
          <w:szCs w:val="22"/>
        </w:rPr>
        <w:t xml:space="preserve">🔗 </w:t>
      </w:r>
      <w:r>
        <w:rPr>
          <w:i/>
          <w:iCs/>
          <w:color w:val="2E5C8A"/>
          <w:sz w:val="22"/>
          <w:szCs w:val="22"/>
        </w:rPr>
        <w:t xml:space="preserve">[Link to attach in Confluence: Settlements — CSV (settlement instructions)]</w:t>
      </w:r>
    </w:p>
    <w:p>
      <w:pPr>
        <w:spacing w:after="40" w:before="40"/>
      </w:pPr>
      <w:r>
        <w:rPr>
          <w:sz w:val="22"/>
          <w:szCs w:val="22"/>
        </w:rPr>
        <w:t xml:space="preserve">🔗 </w:t>
      </w:r>
      <w:r>
        <w:rPr>
          <w:i/>
          <w:iCs/>
          <w:color w:val="2E5C8A"/>
          <w:sz w:val="22"/>
          <w:szCs w:val="22"/>
        </w:rPr>
        <w:t xml:space="preserve">[Link to attach in Confluence: Trades — CSV (trade-level detail)]</w:t>
      </w:r>
    </w:p>
    <w:p>
      <w:pPr>
        <w:spacing w:after="40" w:before="40"/>
      </w:pPr>
      <w:r>
        <w:rPr>
          <w:sz w:val="22"/>
          <w:szCs w:val="22"/>
        </w:rPr>
        <w:t xml:space="preserve">🔗 </w:t>
      </w:r>
      <w:r>
        <w:rPr>
          <w:i/>
          <w:iCs/>
          <w:color w:val="2E5C8A"/>
          <w:sz w:val="22"/>
          <w:szCs w:val="22"/>
        </w:rPr>
        <w:t xml:space="preserve">[Link to attach in Confluence: Collateral Domain — JSON (nested entities and TAMS data, one document per counterparty)]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CMOS report inventory ]</w:t>
            </w:r>
          </w:p>
          <w:p>
            <w:pPr>
              <w:spacing w:after="40" w:before="40"/>
            </w:pPr>
            <w:r>
              <w:rPr>
                <w:i/>
                <w:iCs/>
                <w:color w:val="5B6B7D"/>
                <w:sz w:val="20"/>
                <w:szCs w:val="20"/>
              </w:rPr>
              <w:t xml:space="preserve">Source: Deck slide 3</w:t>
            </w:r>
          </w:p>
          <w:p>
            <w:pPr>
              <w:spacing w:after="40" w:before="40"/>
            </w:pPr>
            <w:r>
              <w:rPr>
                <w:color w:val="5B6B7D"/>
                <w:sz w:val="20"/>
                <w:szCs w:val="20"/>
              </w:rPr>
              <w:t xml:space="preserve">Visual inventory of the five files: four CSV reports plus the JSON domain extract.</w:t>
            </w:r>
          </w:p>
        </w:tc>
      </w:tr>
    </w:tbl>
    <w:p>
      <w:pPr>
        <w:pStyle w:val="Heading3"/>
        <w:spacing w:after="100" w:before="240"/>
      </w:pPr>
      <w:r>
        <w:rPr>
          <w:b/>
          <w:bCs/>
          <w:color w:val="1E2A38"/>
          <w:sz w:val="24"/>
          <w:szCs w:val="24"/>
        </w:rPr>
        <w:t xml:space="preserve">What these files do not tell the consumer</w:t>
      </w:r>
    </w:p>
    <w:p>
      <w:pPr>
        <w:spacing w:after="80" w:before="80" w:line="300"/>
      </w:pPr>
      <w:r>
        <w:rPr>
          <w:sz w:val="22"/>
          <w:szCs w:val="22"/>
        </w:rPr>
        <w:t xml:space="preserve">Each file is readable as a flat document, but the structure required to use them analytically is not declared. Specifically:</w:t>
      </w:r>
    </w:p>
    <w:p>
      <w:pPr>
        <w:pStyle w:val="ListParagraph"/>
        <w:numPr>
          <w:ilvl w:val="0"/>
          <w:numId w:val="2"/>
        </w:numPr>
        <w:spacing w:after="40" w:before="40" w:line="280"/>
      </w:pPr>
      <w:r>
        <w:rPr>
          <w:sz w:val="22"/>
          <w:szCs w:val="22"/>
        </w:rPr>
        <w:t xml:space="preserve">There is no schema describing the columns formally.</w:t>
      </w:r>
    </w:p>
    <w:p>
      <w:pPr>
        <w:pStyle w:val="ListParagraph"/>
        <w:numPr>
          <w:ilvl w:val="0"/>
          <w:numId w:val="2"/>
        </w:numPr>
        <w:spacing w:after="40" w:before="40" w:line="280"/>
      </w:pPr>
      <w:r>
        <w:rPr>
          <w:sz w:val="22"/>
          <w:szCs w:val="22"/>
        </w:rPr>
        <w:t xml:space="preserve">Field meanings are not documented — what each attribute represents must be inferred.</w:t>
      </w:r>
    </w:p>
    <w:p>
      <w:pPr>
        <w:pStyle w:val="ListParagraph"/>
        <w:numPr>
          <w:ilvl w:val="0"/>
          <w:numId w:val="2"/>
        </w:numPr>
        <w:spacing w:after="40" w:before="40" w:line="280"/>
      </w:pPr>
      <w:r>
        <w:rPr>
          <w:sz w:val="22"/>
          <w:szCs w:val="22"/>
        </w:rPr>
        <w:t xml:space="preserve">The source of each field — which upstream system supplied the value — is not stated.</w:t>
      </w:r>
    </w:p>
    <w:p>
      <w:pPr>
        <w:pStyle w:val="ListParagraph"/>
        <w:numPr>
          <w:ilvl w:val="0"/>
          <w:numId w:val="2"/>
        </w:numPr>
        <w:spacing w:after="40" w:before="40" w:line="280"/>
      </w:pPr>
      <w:r>
        <w:rPr>
          <w:sz w:val="22"/>
          <w:szCs w:val="22"/>
        </w:rPr>
        <w:t xml:space="preserve">The level at which each calculated number was produced is not declared. This affects whether numbers can be safely added together.</w:t>
      </w:r>
    </w:p>
    <w:p>
      <w:pPr>
        <w:pStyle w:val="ListParagraph"/>
        <w:numPr>
          <w:ilvl w:val="0"/>
          <w:numId w:val="2"/>
        </w:numPr>
        <w:spacing w:after="40" w:before="40" w:line="280"/>
      </w:pPr>
      <w:r>
        <w:rPr>
          <w:sz w:val="22"/>
          <w:szCs w:val="22"/>
        </w:rPr>
        <w:t xml:space="preserve">The keys required to join across files are not aligned.</w:t>
      </w:r>
    </w:p>
    <w:p>
      <w:pPr>
        <w:spacing w:after="80" w:before="80" w:line="300"/>
      </w:pPr>
      <w:r>
        <w:rPr>
          <w:sz w:val="22"/>
          <w:szCs w:val="22"/>
        </w:rPr>
        <w:t xml:space="preserve">Each of these gaps is addressed by the modelling work described on this page.</w:t>
      </w:r>
    </w:p>
    <w:p>
      <w:pPr>
        <w:pStyle w:val="Heading2"/>
        <w:spacing w:after="160" w:before="320"/>
      </w:pPr>
      <w:r>
        <w:rPr>
          <w:b/>
          <w:bCs/>
          <w:color w:val="2E5C8A"/>
          <w:sz w:val="28"/>
          <w:szCs w:val="28"/>
        </w:rPr>
        <w:t xml:space="preserve">A conformance concern, made concrete</w:t>
      </w:r>
    </w:p>
    <w:p>
      <w:pPr>
        <w:spacing w:after="80" w:before="80" w:line="300"/>
      </w:pPr>
      <w:r>
        <w:rPr>
          <w:sz w:val="22"/>
          <w:szCs w:val="22"/>
        </w:rPr>
        <w:t xml:space="preserve">When the same counterparty appears in different files produced by the same application, the identifying values do not always align. Taking one counterparty from the actual CMOS sample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Central 1 Credit Union — identified three different ways across three files ]</w:t>
            </w:r>
          </w:p>
          <w:p>
            <w:pPr>
              <w:spacing w:after="40" w:before="40"/>
            </w:pPr>
            <w:r>
              <w:rPr>
                <w:i/>
                <w:iCs/>
                <w:color w:val="5B6B7D"/>
                <w:sz w:val="20"/>
                <w:szCs w:val="20"/>
              </w:rPr>
              <w:t xml:space="preserve">Source: Deck slide 4</w:t>
            </w:r>
          </w:p>
          <w:p>
            <w:pPr>
              <w:spacing w:after="40" w:before="40"/>
            </w:pPr>
            <w:r>
              <w:rPr>
                <w:color w:val="5B6B7D"/>
                <w:sz w:val="20"/>
                <w:szCs w:val="20"/>
              </w:rPr>
              <w:t xml:space="preserve">Side-by-side comparison: Disputes.csv shows "CENTRAL 1 CREDIT UNION", Agreements.csv shows "CENTRAL 1 CREDIT UNION:BCCU", DailyExposure.csv shows "TDBK_BCCU_GENERAL_CSA". Three files, three values, same underlying counterparty.</w:t>
            </w:r>
          </w:p>
        </w:tc>
      </w:tr>
    </w:tbl>
    <w:p>
      <w:pPr>
        <w:spacing w:after="80" w:before="80" w:line="300"/>
      </w:pPr>
      <w:r>
        <w:rPr>
          <w:sz w:val="22"/>
          <w:szCs w:val="22"/>
        </w:rPr>
        <w:t xml:space="preserve">Three files from the same application carry three different strings for the same counterparty. One of the files (DailyExposure) uses what appears to be an agreement code rather than a counterparty identifier at all. A consumer attempting to join across these files needs to reconcile the values manually before any cross-file analysis is possible.</w:t>
      </w:r>
    </w:p>
    <w:p>
      <w:pPr>
        <w:spacing w:after="80" w:before="80" w:line="300"/>
      </w:pPr>
      <w:r>
        <w:rPr>
          <w:sz w:val="22"/>
          <w:szCs w:val="22"/>
        </w:rPr>
        <w:t xml:space="preserve">This is a conformance concern. The same logical entity — Counterparty — is represented inconsistently across data sources. The values look similar to a human reader but do not align programmatically, and downstream consumers cannot combine the files reliably without prior reconciliation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C8A" w:sz="24"/>
              <w:bottom w:val="none" w:color="FFFFFF" w:sz="0"/>
              <w:right w:val="none" w:color="FFFFFF" w:sz="0"/>
            </w:tcBorders>
            <w:shd w:fill="EAF1F8" w:val="clear"/>
            <w:tcMar>
              <w:top w:type="dxa" w:w="180"/>
              <w:left w:type="dxa" w:w="260"/>
              <w:bottom w:type="dxa" w:w="180"/>
              <w:right w:type="dxa" w:w="200"/>
            </w:tcMar>
          </w:tcPr>
          <w:p>
            <w:pPr>
              <w:spacing w:after="40" w:before="40" w:line="300"/>
            </w:pPr>
            <w:r>
              <w:rPr>
                <w:sz w:val="22"/>
                <w:szCs w:val="22"/>
              </w:rPr>
              <w:t xml:space="preserve">In plain terms, conformance is the difference between </w:t>
            </w:r>
            <w:r>
              <w:rPr>
                <w:b/>
                <w:bCs/>
                <w:sz w:val="22"/>
                <w:szCs w:val="22"/>
              </w:rPr>
              <w:t xml:space="preserve">two files publishing data that looks the same</w:t>
            </w:r>
            <w:r>
              <w:rPr>
                <w:sz w:val="22"/>
                <w:szCs w:val="22"/>
              </w:rPr>
              <w:t xml:space="preserve"> and </w:t>
            </w:r>
            <w:r>
              <w:rPr>
                <w:b/>
                <w:bCs/>
                <w:sz w:val="22"/>
                <w:szCs w:val="22"/>
              </w:rPr>
              <w:t xml:space="preserve">two files publishing data that means the same</w:t>
            </w:r>
            <w:r>
              <w:rPr>
                <w:sz w:val="22"/>
                <w:szCs w:val="22"/>
              </w:rPr>
              <w:t xml:space="preserve">. Only the second can be combined safely.</w:t>
            </w:r>
          </w:p>
        </w:tc>
      </w:tr>
    </w:tbl>
    <w:p>
      <w:pPr>
        <w:spacing w:after="80" w:before="80" w:line="300"/>
      </w:pPr>
      <w:r>
        <w:rPr>
          <w:sz w:val="22"/>
          <w:szCs w:val="22"/>
        </w:rPr>
        <w:t xml:space="preserve">Resolving this requires one agreed identifier for each counterparty, used consistently across every file the application produces. The wider conformance topic — including how this applies across applications, not just within one — is covered in the sub-page below.</w:t>
      </w:r>
    </w:p>
    <w:p>
      <w:pPr>
        <w:spacing w:after="40" w:before="40"/>
      </w:pPr>
      <w:r>
        <w:rPr>
          <w:sz w:val="22"/>
          <w:szCs w:val="22"/>
        </w:rPr>
        <w:t xml:space="preserve">🛠 </w:t>
      </w:r>
      <w:r>
        <w:rPr>
          <w:i/>
          <w:iCs/>
          <w:color w:val="2E5C8A"/>
          <w:sz w:val="22"/>
          <w:szCs w:val="22"/>
        </w:rPr>
        <w:t xml:space="preserve">[Tool link to attach in Confluence: Conformance — the longer view (sub-page)]</w:t>
      </w:r>
    </w:p>
    <w:p>
      <w:pPr>
        <w:pStyle w:val="Heading2"/>
        <w:spacing w:after="160" w:before="320"/>
      </w:pPr>
      <w:r>
        <w:rPr>
          <w:b/>
          <w:bCs/>
          <w:color w:val="2E5C8A"/>
          <w:sz w:val="28"/>
          <w:szCs w:val="28"/>
        </w:rPr>
        <w:t xml:space="preserve">What is inside a report row</w:t>
      </w:r>
    </w:p>
    <w:p>
      <w:pPr>
        <w:spacing w:after="80" w:before="80" w:line="300"/>
      </w:pPr>
      <w:r>
        <w:rPr>
          <w:sz w:val="22"/>
          <w:szCs w:val="22"/>
        </w:rPr>
        <w:t xml:space="preserve">A single row in the Daily Exposure file looks like one record. Structurally, it is several distinct concepts bundled together: some attributes describing who and when, and a number representing what the application calculated.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Anatomy of a Daily Exposure row ]</w:t>
            </w:r>
          </w:p>
          <w:p>
            <w:pPr>
              <w:spacing w:after="40" w:before="40"/>
            </w:pPr>
            <w:r>
              <w:rPr>
                <w:i/>
                <w:iCs/>
                <w:color w:val="5B6B7D"/>
                <w:sz w:val="20"/>
                <w:szCs w:val="20"/>
              </w:rPr>
              <w:t xml:space="preserve">Source: Deck slide 5</w:t>
            </w:r>
          </w:p>
          <w:p>
            <w:pPr>
              <w:spacing w:after="40" w:before="40"/>
            </w:pPr>
            <w:r>
              <w:rPr>
                <w:color w:val="5B6B7D"/>
                <w:sz w:val="20"/>
                <w:szCs w:val="20"/>
              </w:rPr>
              <w:t xml:space="preserve">One row from Daily Exposure broken into labelled parts: Counterparty, Agreement Id, Event Date, Call Status are descriptive attributes (dimensions); Base Total Exposure is the calculated number (measure).</w:t>
            </w:r>
          </w:p>
        </w:tc>
      </w:tr>
    </w:tbl>
    <w:p>
      <w:pPr>
        <w:spacing w:after="80" w:before="80" w:line="300"/>
      </w:pPr>
      <w:r>
        <w:rPr>
          <w:sz w:val="22"/>
          <w:szCs w:val="22"/>
        </w:rPr>
        <w:t xml:space="preserve">The attributes that describe context — Counterparty, Agreement Id, Event Date, Call Status — are the values a consumer would filter by or group by. In modelling terms, these are dimensions. The numeric value the application calculated — Base Total Exposure — is what consumers want to aggregate, compare, or report. In modelling terms, this is a measure.</w:t>
      </w:r>
    </w:p>
    <w:p>
      <w:pPr>
        <w:spacing w:after="80" w:before="80" w:line="300"/>
      </w:pPr>
      <w:r>
        <w:rPr>
          <w:sz w:val="22"/>
          <w:szCs w:val="22"/>
        </w:rPr>
        <w:t xml:space="preserve">With this distinction made, two further questions need answers, and neither is visible in the file itself:</w:t>
      </w:r>
    </w:p>
    <w:p>
      <w:pPr>
        <w:pStyle w:val="ListParagraph"/>
        <w:numPr>
          <w:ilvl w:val="0"/>
          <w:numId w:val="2"/>
        </w:numPr>
        <w:spacing w:after="40" w:before="40" w:line="280"/>
      </w:pPr>
      <w:r>
        <w:rPr>
          <w:sz w:val="22"/>
          <w:szCs w:val="22"/>
        </w:rPr>
        <w:t xml:space="preserve">At what level was the exposure number calculated — per call event, per agreement, per counterparty? This determines what aggregations are valid.</w:t>
      </w:r>
    </w:p>
    <w:p>
      <w:pPr>
        <w:pStyle w:val="ListParagraph"/>
        <w:numPr>
          <w:ilvl w:val="0"/>
          <w:numId w:val="2"/>
        </w:numPr>
        <w:spacing w:after="40" w:before="40" w:line="280"/>
      </w:pPr>
      <w:r>
        <w:rPr>
          <w:sz w:val="22"/>
          <w:szCs w:val="22"/>
        </w:rPr>
        <w:t xml:space="preserve">Can two exposure values be added together — are they in the same currency, on the same date, at compatible levels of granularity?</w:t>
      </w:r>
    </w:p>
    <w:p>
      <w:pPr>
        <w:spacing w:after="80" w:before="80" w:line="300"/>
      </w:pPr>
      <w:r>
        <w:rPr>
          <w:sz w:val="22"/>
          <w:szCs w:val="22"/>
        </w:rPr>
        <w:t xml:space="preserve">These questions are answered by declaring the model. The next sections describe how.</w:t>
      </w:r>
    </w:p>
    <w:p>
      <w:pPr>
        <w:pStyle w:val="Heading2"/>
        <w:spacing w:after="160" w:before="320"/>
      </w:pPr>
      <w:r>
        <w:rPr>
          <w:b/>
          <w:bCs/>
          <w:color w:val="2E5C8A"/>
          <w:sz w:val="28"/>
          <w:szCs w:val="28"/>
        </w:rPr>
        <w:t xml:space="preserve">An analytical model</w:t>
      </w:r>
    </w:p>
    <w:p>
      <w:pPr>
        <w:spacing w:after="80" w:before="80" w:line="300"/>
      </w:pPr>
      <w:r>
        <w:rPr>
          <w:sz w:val="22"/>
          <w:szCs w:val="22"/>
        </w:rPr>
        <w:t xml:space="preserve">Each report today answers one question. A developer wrote a query, captured the result, and shipped the file. A new question — even a small variation — requires a new query and a new file. The logic lives in scattered SQL, not in anything shared or governed.</w:t>
      </w:r>
    </w:p>
    <w:p>
      <w:pPr>
        <w:spacing w:after="80" w:before="80" w:line="300"/>
      </w:pPr>
      <w:r>
        <w:rPr>
          <w:sz w:val="22"/>
          <w:szCs w:val="22"/>
        </w:rPr>
        <w:t xml:space="preserve">An analytical model takes a different shape. Instead of producing many one-off outputs, it organises the data into one structure that can answer many questions. The numeric values (facts) sit at the centre, surrounded by the descriptive attributes (dimensions) that consumers slice and group by. The model is built once; consumers query it many ways without further developer involvement. This structure is called a star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Star schema for CCR exposure ]</w:t>
            </w:r>
          </w:p>
          <w:p>
            <w:pPr>
              <w:spacing w:after="40" w:before="40"/>
            </w:pPr>
            <w:r>
              <w:rPr>
                <w:i/>
                <w:iCs/>
                <w:color w:val="5B6B7D"/>
                <w:sz w:val="20"/>
                <w:szCs w:val="20"/>
              </w:rPr>
              <w:t xml:space="preserve">Source: HTML reference doc — Figure 2</w:t>
            </w:r>
          </w:p>
          <w:p>
            <w:pPr>
              <w:spacing w:after="40" w:before="40"/>
            </w:pPr>
            <w:r>
              <w:rPr>
                <w:color w:val="5B6B7D"/>
                <w:sz w:val="20"/>
                <w:szCs w:val="20"/>
              </w:rPr>
              <w:t xml:space="preserve">Central fact_exposure_daily table at the grain of netting set × date, surrounded by dim_counterparty, dim_agreement, dim_netting_set, dim_date, dim_currency, dim_product.</w:t>
            </w:r>
          </w:p>
        </w:tc>
      </w:tr>
    </w:tbl>
    <w:p>
      <w:pPr>
        <w:pStyle w:val="Heading3"/>
        <w:spacing w:after="100" w:before="240"/>
      </w:pPr>
      <w:r>
        <w:rPr>
          <w:b/>
          <w:bCs/>
          <w:color w:val="1E2A38"/>
          <w:sz w:val="24"/>
          <w:szCs w:val="24"/>
        </w:rPr>
        <w:t xml:space="preserve">A consideration when combining facts</w:t>
      </w:r>
    </w:p>
    <w:p>
      <w:pPr>
        <w:spacing w:after="80" w:before="80" w:line="300"/>
      </w:pPr>
      <w:r>
        <w:rPr>
          <w:sz w:val="22"/>
          <w:szCs w:val="22"/>
        </w:rPr>
        <w:t xml:space="preserve">There is sometimes a temptation, when bringing several reports into one place, to merge all of them into a single wide table. This should be avoided. The reports are calculated at different levels — a margin call event, a dispute, a settlement instruction, a trade. Combining them into one table forces one level to dominate and the others to be duplicated against it. The result is silent double-counting in any subsequent aggregation.</w:t>
      </w:r>
    </w:p>
    <w:p>
      <w:pPr>
        <w:spacing w:after="80" w:before="80" w:line="300"/>
      </w:pPr>
      <w:r>
        <w:rPr>
          <w:sz w:val="22"/>
          <w:szCs w:val="22"/>
        </w:rPr>
        <w:t xml:space="preserve">The correct approach is to keep each fact separate, at its own declared level (grain), and to relate facts through their shared dimensions. Facts meet at the dimensions — through the same Counterparty, Agreement, and Date — rather than by being combined into a single physical table.</w:t>
      </w:r>
    </w:p>
    <w:p>
      <w:pPr>
        <w:spacing w:after="40" w:before="40"/>
      </w:pPr>
      <w:r>
        <w:rPr>
          <w:sz w:val="22"/>
          <w:szCs w:val="22"/>
        </w:rPr>
        <w:t xml:space="preserve">🛠 </w:t>
      </w:r>
      <w:r>
        <w:rPr>
          <w:i/>
          <w:iCs/>
          <w:color w:val="2E5C8A"/>
          <w:sz w:val="22"/>
          <w:szCs w:val="22"/>
        </w:rPr>
        <w:t xml:space="preserve">[Tool link to attach in Confluence: PowerDesigner model — Dimensional view (Collateral CCR)]</w:t>
      </w:r>
    </w:p>
    <w:p>
      <w:pPr>
        <w:pStyle w:val="Heading2"/>
        <w:spacing w:after="160" w:before="320"/>
      </w:pPr>
      <w:r>
        <w:rPr>
          <w:b/>
          <w:bCs/>
          <w:color w:val="2E5C8A"/>
          <w:sz w:val="28"/>
          <w:szCs w:val="28"/>
        </w:rPr>
        <w:t xml:space="preserve">Conformance — defined once, used everywhere</w:t>
      </w:r>
    </w:p>
    <w:p>
      <w:pPr>
        <w:spacing w:after="80" w:before="80" w:line="300"/>
      </w:pPr>
      <w:r>
        <w:rPr>
          <w:sz w:val="22"/>
          <w:szCs w:val="22"/>
        </w:rPr>
        <w:t xml:space="preserve">For an analytical model to be usable across applications, the dimensions that surround the facts must be conformed. Each entity that appears in multiple applications — Counterparty, Agreement, Asset Class, Date — needs a single agreed definition that every application refers to.</w:t>
      </w:r>
    </w:p>
    <w:p>
      <w:pPr>
        <w:spacing w:after="80" w:before="80" w:line="300"/>
      </w:pPr>
      <w:r>
        <w:rPr>
          <w:sz w:val="22"/>
          <w:szCs w:val="22"/>
        </w:rPr>
        <w:t xml:space="preserve">Conformance is not about removing one source in favour of another. It is about making the definition and the mapping rules explicit, so that data from different sources can be combined predictably.</w:t>
      </w:r>
    </w:p>
    <w:p>
      <w:pPr>
        <w:pStyle w:val="Heading3"/>
        <w:spacing w:after="100" w:before="240"/>
      </w:pPr>
      <w:r>
        <w:rPr>
          <w:b/>
          <w:bCs/>
          <w:color w:val="1E2A38"/>
          <w:sz w:val="24"/>
          <w:szCs w:val="24"/>
        </w:rPr>
        <w:t xml:space="preserve">Worked example — Asset Class</w:t>
      </w:r>
    </w:p>
    <w:p>
      <w:pPr>
        <w:spacing w:after="80" w:before="80" w:line="300"/>
      </w:pPr>
      <w:r>
        <w:rPr>
          <w:sz w:val="22"/>
          <w:szCs w:val="22"/>
        </w:rPr>
        <w:t xml:space="preserve">The same bond can be classified differently by the systems that handle it. Taking an actual case from the CMOS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System</w:t>
            </w:r>
          </w:p>
        </w:tc>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Classification of the same bond</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Collateral domain (JSON)</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Sovereign Bond</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Security master</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Government Bond</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Eligibility schedule</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Government of Canada Bond</w:t>
            </w:r>
          </w:p>
        </w:tc>
      </w:tr>
    </w:tbl>
    <w:p>
      <w:pPr>
        <w:spacing w:after="80" w:before="80" w:line="300"/>
      </w:pPr>
      <w:r>
        <w:rPr>
          <w:sz w:val="22"/>
          <w:szCs w:val="22"/>
        </w:rPr>
        <w:t xml:space="preserve">All three are valid in their own context, but slicing exposure "by asset class" across systems produces three different breakdowns and no consistent picture. There is no external standard that resolves this for risk asset classification — so risk authors the conformed taxonomy and the mapping rules from each system's native classification into it. "Sovereign Bond," "Government Bond," and "Government of Canada Bond" all map to one conformed asset class. The mapping rule lives inside the conformed entity's definition, not in each consumer's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Conformed Asset Class — three sources mapped to one definition ]</w:t>
            </w:r>
          </w:p>
          <w:p>
            <w:pPr>
              <w:spacing w:after="40" w:before="40"/>
            </w:pPr>
            <w:r>
              <w:rPr>
                <w:i/>
                <w:iCs/>
                <w:color w:val="5B6B7D"/>
                <w:sz w:val="20"/>
                <w:szCs w:val="20"/>
              </w:rPr>
              <w:t xml:space="preserve">Source: Deck slide 7</w:t>
            </w:r>
          </w:p>
          <w:p>
            <w:pPr>
              <w:spacing w:after="40" w:before="40"/>
            </w:pPr>
            <w:r>
              <w:rPr>
                <w:color w:val="5B6B7D"/>
                <w:sz w:val="20"/>
                <w:szCs w:val="20"/>
              </w:rPr>
              <w:t xml:space="preserve">Three boxes (Sovereign Bond / Government Bond / Government of Canada Bond) feeding into one conformed Asset Class definition, with the mapping rules attached to the conformed entity.</w:t>
            </w:r>
          </w:p>
        </w:tc>
      </w:tr>
    </w:tbl>
    <w:p>
      <w:pPr>
        <w:spacing w:after="80" w:before="80" w:line="300"/>
      </w:pPr>
      <w:r>
        <w:rPr>
          <w:sz w:val="22"/>
          <w:szCs w:val="22"/>
        </w:rPr>
        <w:t xml:space="preserve">Conformance applies the same way to other shared entities: a conformed Counterparty references the master party data, with rules for resolving the Central 1 example above; a conformed FX Rate has a declared source; a conformed Currency aligns to ISO 4217. Where an enterprise standard exists, the conformed entity uses it. Where it does not, risk authors the definition.</w:t>
      </w:r>
    </w:p>
    <w:p>
      <w:pPr>
        <w:spacing w:after="40" w:before="40"/>
      </w:pPr>
      <w:r>
        <w:rPr>
          <w:sz w:val="22"/>
          <w:szCs w:val="22"/>
        </w:rPr>
        <w:t xml:space="preserve">🛠 </w:t>
      </w:r>
      <w:r>
        <w:rPr>
          <w:i/>
          <w:iCs/>
          <w:color w:val="2E5C8A"/>
          <w:sz w:val="22"/>
          <w:szCs w:val="22"/>
        </w:rPr>
        <w:t xml:space="preserve">[Tool link to attach in Confluence: Conformance — the longer view (sub-page covering the three forms of conformance failure, with the sourcing contract template)]</w:t>
      </w:r>
    </w:p>
    <w:p>
      <w:pPr>
        <w:pStyle w:val="Heading2"/>
        <w:spacing w:after="160" w:before="320"/>
      </w:pPr>
      <w:r>
        <w:rPr>
          <w:b/>
          <w:bCs/>
          <w:color w:val="2E5C8A"/>
          <w:sz w:val="28"/>
          <w:szCs w:val="28"/>
        </w:rPr>
        <w:t xml:space="preserve">Inside the JSON — a domain model waiting to be opened</w:t>
      </w:r>
    </w:p>
    <w:p>
      <w:pPr>
        <w:spacing w:after="80" w:before="80" w:line="300"/>
      </w:pPr>
      <w:r>
        <w:rPr>
          <w:sz w:val="22"/>
          <w:szCs w:val="22"/>
        </w:rPr>
        <w:t xml:space="preserve">The Collateral Domain JSON extract carries the application's data as a nested document — agreements containing trades containing exposures, with margin calls and asset holdings folded in. Each document represents one counterparty's full picture.</w:t>
      </w:r>
    </w:p>
    <w:p>
      <w:pPr>
        <w:spacing w:after="80" w:before="80" w:line="300"/>
      </w:pPr>
      <w:r>
        <w:rPr>
          <w:sz w:val="22"/>
          <w:szCs w:val="22"/>
        </w:rPr>
        <w:t xml:space="preserve">The nesting is convenient for transport but obscures the underlying structure. When the JSON is exploded — each level extracted into its own logical entity — a domain model becomes visible. The entities that emerge are the same ones that would be drawn for the collateral domain from first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JSON nested structure exploded into canonical entities ]</w:t>
            </w:r>
          </w:p>
          <w:p>
            <w:pPr>
              <w:spacing w:after="40" w:before="40"/>
            </w:pPr>
            <w:r>
              <w:rPr>
                <w:i/>
                <w:iCs/>
                <w:color w:val="5B6B7D"/>
                <w:sz w:val="20"/>
                <w:szCs w:val="20"/>
              </w:rPr>
              <w:t xml:space="preserve">Source: Deck slide 8</w:t>
            </w:r>
          </w:p>
          <w:p>
            <w:pPr>
              <w:spacing w:after="40" w:before="40"/>
            </w:pPr>
            <w:r>
              <w:rPr>
                <w:color w:val="5B6B7D"/>
                <w:sz w:val="20"/>
                <w:szCs w:val="20"/>
              </w:rPr>
              <w:t xml:space="preserve">On the left, the nested JSON tree (agreement → trades → exposure summary → margin calls → asset holdings → movements). On the right, the resolved canonical entities (Agreement, Trade, Exposure, Margin Call, Asset Holding, Asset Movement, Dispute) with relationships between them.</w:t>
            </w:r>
          </w:p>
        </w:tc>
      </w:tr>
    </w:tbl>
    <w:p>
      <w:pPr>
        <w:spacing w:after="80" w:before="80" w:line="300"/>
      </w:pPr>
      <w:r>
        <w:rPr>
          <w:sz w:val="22"/>
          <w:szCs w:val="22"/>
        </w:rPr>
        <w:t xml:space="preserve">The canonical entities revealed by the JSON include Agreement, Trade, Exposure, Margin Call, Asset Holding, Asset Movement, and Dispute. These are the building blocks of a logical model for the collateral domain. They are independent of any particular report or use case, and they describe what exists in the domain rather than how any one report happens to render it.</w:t>
      </w:r>
    </w:p>
    <w:p>
      <w:pPr>
        <w:spacing w:after="40" w:before="40"/>
      </w:pPr>
      <w:r>
        <w:rPr>
          <w:sz w:val="22"/>
          <w:szCs w:val="22"/>
        </w:rPr>
        <w:t xml:space="preserve">🔗 </w:t>
      </w:r>
      <w:r>
        <w:rPr>
          <w:i/>
          <w:iCs/>
          <w:color w:val="2E5C8A"/>
          <w:sz w:val="22"/>
          <w:szCs w:val="22"/>
        </w:rPr>
        <w:t xml:space="preserve">[Link to attach in Confluence: Collateral Domain — JSON (the source extract for this domain model)]</w:t>
      </w:r>
    </w:p>
    <w:p>
      <w:pPr>
        <w:spacing w:after="40" w:before="40"/>
      </w:pPr>
      <w:r>
        <w:rPr>
          <w:sz w:val="22"/>
          <w:szCs w:val="22"/>
        </w:rPr>
        <w:t xml:space="preserve">🛠 </w:t>
      </w:r>
      <w:r>
        <w:rPr>
          <w:i/>
          <w:iCs/>
          <w:color w:val="2E5C8A"/>
          <w:sz w:val="22"/>
          <w:szCs w:val="22"/>
        </w:rPr>
        <w:t xml:space="preserve">[Tool link to attach in Confluence: PowerDesigner model — Canonical view (Collateral domain)]</w:t>
      </w:r>
    </w:p>
    <w:p>
      <w:pPr>
        <w:pStyle w:val="Heading2"/>
        <w:spacing w:after="160" w:before="320"/>
      </w:pPr>
      <w:r>
        <w:rPr>
          <w:b/>
          <w:bCs/>
          <w:color w:val="2E5C8A"/>
          <w:sz w:val="28"/>
          <w:szCs w:val="28"/>
        </w:rPr>
        <w:t xml:space="preserve">Three models, connected</w:t>
      </w:r>
    </w:p>
    <w:p>
      <w:pPr>
        <w:spacing w:after="80" w:before="80" w:line="300"/>
      </w:pPr>
      <w:r>
        <w:rPr>
          <w:sz w:val="22"/>
          <w:szCs w:val="22"/>
        </w:rPr>
        <w:t xml:space="preserve">Two models can be built directly from data the CMOS application already produces. They serve different purposes and are derived in different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Three models — Report, Dimensional, Canonical — and how they connect ]</w:t>
            </w:r>
          </w:p>
          <w:p>
            <w:pPr>
              <w:spacing w:after="40" w:before="40"/>
            </w:pPr>
            <w:r>
              <w:rPr>
                <w:i/>
                <w:iCs/>
                <w:color w:val="5B6B7D"/>
                <w:sz w:val="20"/>
                <w:szCs w:val="20"/>
              </w:rPr>
              <w:t xml:space="preserve">Source: Deck slide 9</w:t>
            </w:r>
          </w:p>
          <w:p>
            <w:pPr>
              <w:spacing w:after="40" w:before="40"/>
            </w:pPr>
            <w:r>
              <w:rPr>
                <w:color w:val="5B6B7D"/>
                <w:sz w:val="20"/>
                <w:szCs w:val="20"/>
              </w:rPr>
              <w:t xml:space="preserve">Three connected boxes showing: Report model (today, derived from CSV/JSON outputs); Dimensional model (built by promoting the CSV reports into facts and conformed dimensions, for analytics); Canonical model (built by exploding the JSON extract into entities and relationships, feeding the enterprise CDM). Arrows: promote, open 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Model</w:t>
            </w:r>
          </w:p>
        </w:tc>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Built from</w:t>
            </w:r>
          </w:p>
        </w:tc>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Used for</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Report model (today)</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CSV files and JSON extracts as delivered by the application</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Direct distribution to existing consumers; the starting point for the other two models</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Dimensional model</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Promoting the CSV reports into facts and conformed dimensions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Analytical queries; star schema underneath the BI layer</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Canonical model</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Exploding the JSON extract into logical entities and relationships</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Feeds the enterprise canonical data model; reference for the domain's structure</w:t>
            </w:r>
          </w:p>
        </w:tc>
      </w:tr>
    </w:tbl>
    <w:p>
      <w:pPr>
        <w:spacing w:after="80" w:before="80" w:line="300"/>
      </w:pPr>
      <w:r>
        <w:rPr>
          <w:sz w:val="22"/>
          <w:szCs w:val="22"/>
        </w:rPr>
        <w:t xml:space="preserve">Both the dimensional and canonical models are built from data the application already produces. Neither requires a rebuild of CMOS. The dimensional view supports analytical consumption; the canonical view supports the wider enterprise data layer. They reference each other through the conformed entities.</w:t>
      </w:r>
    </w:p>
    <w:p>
      <w:pPr>
        <w:spacing w:after="40" w:before="40"/>
      </w:pPr>
      <w:r>
        <w:rPr>
          <w:sz w:val="22"/>
          <w:szCs w:val="22"/>
        </w:rPr>
        <w:t xml:space="preserve">🛠 </w:t>
      </w:r>
      <w:r>
        <w:rPr>
          <w:i/>
          <w:iCs/>
          <w:color w:val="2E5C8A"/>
          <w:sz w:val="22"/>
          <w:szCs w:val="22"/>
        </w:rPr>
        <w:t xml:space="preserve">[Tool link to attach in Confluence: PowerDesigner model — Dimensional view]</w:t>
      </w:r>
    </w:p>
    <w:p>
      <w:pPr>
        <w:spacing w:after="40" w:before="40"/>
      </w:pPr>
      <w:r>
        <w:rPr>
          <w:sz w:val="22"/>
          <w:szCs w:val="22"/>
        </w:rPr>
        <w:t xml:space="preserve">🛠 </w:t>
      </w:r>
      <w:r>
        <w:rPr>
          <w:i/>
          <w:iCs/>
          <w:color w:val="2E5C8A"/>
          <w:sz w:val="22"/>
          <w:szCs w:val="22"/>
        </w:rPr>
        <w:t xml:space="preserve">[Tool link to attach in Confluence: PowerDesigner model — Canonical view]</w:t>
      </w:r>
    </w:p>
    <w:p>
      <w:pPr>
        <w:spacing w:after="40" w:before="40"/>
      </w:pPr>
      <w:r>
        <w:rPr>
          <w:sz w:val="22"/>
          <w:szCs w:val="22"/>
        </w:rPr>
        <w:t xml:space="preserve">🛠 </w:t>
      </w:r>
      <w:r>
        <w:rPr>
          <w:i/>
          <w:iCs/>
          <w:color w:val="2E5C8A"/>
          <w:sz w:val="22"/>
          <w:szCs w:val="22"/>
        </w:rPr>
        <w:t xml:space="preserve">[Tool link to attach in Confluence: Unity Catalog — collateral schema reference]</w:t>
      </w:r>
    </w:p>
    <w:p>
      <w:pPr>
        <w:pStyle w:val="Heading2"/>
        <w:spacing w:after="160" w:before="320"/>
      </w:pPr>
      <w:r>
        <w:rPr>
          <w:b/>
          <w:bCs/>
          <w:color w:val="2E5C8A"/>
          <w:sz w:val="28"/>
          <w:szCs w:val="28"/>
        </w:rPr>
        <w:t xml:space="preserve">Where this leads</w:t>
      </w:r>
    </w:p>
    <w:p>
      <w:pPr>
        <w:spacing w:after="80" w:before="80" w:line="300"/>
      </w:pPr>
      <w:r>
        <w:rPr>
          <w:sz w:val="22"/>
          <w:szCs w:val="22"/>
        </w:rPr>
        <w:t xml:space="preserve">The modelling work described above is one of four parallel threads that together produce trustworthy, discoverable, self-servable risk data. Each thread addresses a distinct gap; together they form the direction of travel for risk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772A" w:sz="8"/>
              <w:left w:val="single" w:color="B9772A" w:sz="8"/>
              <w:bottom w:val="single" w:color="B9772A" w:sz="8"/>
              <w:right w:val="single" w:color="B9772A" w:sz="8"/>
            </w:tcBorders>
            <w:shd w:fill="FFF6E0" w:val="clear"/>
            <w:tcMar>
              <w:top w:type="dxa" w:w="200"/>
              <w:left w:type="dxa" w:w="240"/>
              <w:bottom w:type="dxa" w:w="200"/>
              <w:right w:type="dxa" w:w="240"/>
            </w:tcMar>
          </w:tcPr>
          <w:p>
            <w:pPr>
              <w:spacing w:after="80" w:before="40"/>
            </w:pPr>
            <w:r>
              <w:rPr>
                <w:b/>
                <w:bCs/>
                <w:color w:val="B9772A"/>
                <w:sz w:val="22"/>
                <w:szCs w:val="22"/>
              </w:rPr>
              <w:t xml:space="preserve">[ IMAGE — The four threads ]</w:t>
            </w:r>
          </w:p>
          <w:p>
            <w:pPr>
              <w:spacing w:after="40" w:before="40"/>
            </w:pPr>
            <w:r>
              <w:rPr>
                <w:i/>
                <w:iCs/>
                <w:color w:val="5B6B7D"/>
                <w:sz w:val="20"/>
                <w:szCs w:val="20"/>
              </w:rPr>
              <w:t xml:space="preserve">Source: Deck slide 11</w:t>
            </w:r>
          </w:p>
          <w:p>
            <w:pPr>
              <w:spacing w:after="40" w:before="40"/>
            </w:pPr>
            <w:r>
              <w:rPr>
                <w:color w:val="5B6B7D"/>
                <w:sz w:val="20"/>
                <w:szCs w:val="20"/>
              </w:rPr>
              <w:t xml:space="preserve">Four labelled threads: 1) Physical integration — consolidating data into one governed platform; 2) Structural conformance — making entities consistent across applications; 3) Modelling work — the dimensional and canonical models; 4) From query to model — replacing one-off queries with a queryable model. All four converge on trustworthy risk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Thread</w:t>
            </w:r>
          </w:p>
        </w:tc>
        <w:tc>
          <w:tcPr>
            <w:tcW w:type="dxa" w:w="4680"/>
            <w:tcBorders>
              <w:top w:val="single" w:color="CCCCCC" w:sz="4"/>
              <w:left w:val="single" w:color="CCCCCC" w:sz="4"/>
              <w:bottom w:val="single" w:color="CCCCCC" w:sz="4"/>
              <w:right w:val="single" w:color="CCCCCC" w:sz="4"/>
            </w:tcBorders>
            <w:shd w:fill="2E5C8A" w:val="clear"/>
            <w:tcMar>
              <w:top w:type="dxa" w:w="100"/>
              <w:left w:type="dxa" w:w="150"/>
              <w:bottom w:type="dxa" w:w="100"/>
              <w:right w:type="dxa" w:w="150"/>
            </w:tcMar>
          </w:tcPr>
          <w:p>
            <w:r>
              <w:rPr>
                <w:b/>
                <w:bCs/>
                <w:color w:val="FFFFFF"/>
                <w:sz w:val="22"/>
                <w:szCs w:val="22"/>
              </w:rPr>
              <w:t xml:space="preserve">What it addresses</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Physical integration</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Bringing application data into one governed analytics platform — searchable, discoverable.</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Structural conformance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Resolving how entities are represented across systems. Conformed dimensions, mapping rules attached to entity definitions.</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Modelling work</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50"/>
              <w:bottom w:type="dxa" w:w="100"/>
              <w:right w:type="dxa" w:w="150"/>
            </w:tcMar>
          </w:tcPr>
          <w:p>
            <w:pPr>
              <w:spacing w:after="30" w:before="30" w:line="280"/>
            </w:pPr>
            <w:r>
              <w:rPr>
                <w:sz w:val="22"/>
                <w:szCs w:val="22"/>
              </w:rPr>
              <w:t xml:space="preserve">The dimensional and canonical models described on this page. Documented structure for analytics and for the enterprise data layer.</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From query to model</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50"/>
              <w:bottom w:type="dxa" w:w="100"/>
              <w:right w:type="dxa" w:w="150"/>
            </w:tcMar>
          </w:tcPr>
          <w:p>
            <w:pPr>
              <w:spacing w:after="30" w:before="30" w:line="280"/>
            </w:pPr>
            <w:r>
              <w:rPr>
                <w:sz w:val="22"/>
                <w:szCs w:val="22"/>
              </w:rPr>
              <w:t xml:space="preserve">Replacing one-off SQL queries with a queryable model. Developer time goes into the model; the business queries it directly.</w:t>
            </w:r>
          </w:p>
        </w:tc>
      </w:tr>
    </w:tbl>
    <w:p>
      <w:pPr>
        <w:spacing w:after="80" w:before="80" w:line="300"/>
      </w:pPr>
      <w:r>
        <w:rPr>
          <w:sz w:val="22"/>
          <w:szCs w:val="22"/>
        </w:rPr>
        <w:t xml:space="preserve">All four threads converge on the same direction — risk data that is consistent across applications, queryable without developer mediation, and trustworthy enough for cross-application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F8F5B" w:sz="24"/>
              <w:bottom w:val="none" w:color="FFFFFF" w:sz="0"/>
              <w:right w:val="none" w:color="FFFFFF" w:sz="0"/>
            </w:tcBorders>
            <w:shd w:fill="E7F4EC" w:val="clear"/>
            <w:tcMar>
              <w:top w:type="dxa" w:w="180"/>
              <w:left w:type="dxa" w:w="260"/>
              <w:bottom w:type="dxa" w:w="180"/>
              <w:right w:type="dxa" w:w="200"/>
            </w:tcMar>
          </w:tcPr>
          <w:p>
            <w:pPr>
              <w:spacing w:after="40" w:before="40" w:line="300"/>
            </w:pPr>
            <w:r>
              <w:rPr>
                <w:b/>
                <w:bCs/>
                <w:sz w:val="22"/>
                <w:szCs w:val="22"/>
              </w:rPr>
              <w:t xml:space="preserve">Headline: </w:t>
            </w:r>
            <w:r>
              <w:rPr>
                <w:sz w:val="22"/>
                <w:szCs w:val="22"/>
              </w:rPr>
              <w:t xml:space="preserve">the work described on this page is incremental, not a rebuild. The two new models — dimensional and canonical — are built from data the applications already produce. The remaining work is to give that data structure, conformance, and contracts so it can be relied on by everyone downstream.</w:t>
            </w:r>
          </w:p>
        </w:tc>
      </w:tr>
    </w:tbl>
    <w:p>
      <w:pPr>
        <w:pStyle w:val="Heading2"/>
        <w:spacing w:after="160" w:before="320"/>
      </w:pPr>
      <w:r>
        <w:rPr>
          <w:b/>
          <w:bCs/>
          <w:color w:val="2E5C8A"/>
          <w:sz w:val="28"/>
          <w:szCs w:val="28"/>
        </w:rPr>
        <w:t xml:space="preserve">Related pages</w:t>
      </w:r>
    </w:p>
    <w:p>
      <w:pPr>
        <w:spacing w:after="80" w:before="80" w:line="300"/>
      </w:pPr>
      <w:r>
        <w:rPr>
          <w:sz w:val="22"/>
          <w:szCs w:val="22"/>
        </w:rPr>
        <w:t xml:space="preserve">The following sub-pages cover the deeper topics referenced above:</w:t>
      </w:r>
    </w:p>
    <w:p>
      <w:pPr>
        <w:spacing w:after="40" w:before="40"/>
      </w:pPr>
      <w:r>
        <w:rPr>
          <w:sz w:val="22"/>
          <w:szCs w:val="22"/>
        </w:rPr>
        <w:t xml:space="preserve">🛠 </w:t>
      </w:r>
      <w:r>
        <w:rPr>
          <w:i/>
          <w:iCs/>
          <w:color w:val="2E5C8A"/>
          <w:sz w:val="22"/>
          <w:szCs w:val="22"/>
        </w:rPr>
        <w:t xml:space="preserve">[Tool link to attach in Confluence: Conformance — the longer view]</w:t>
      </w:r>
    </w:p>
    <w:p>
      <w:pPr>
        <w:spacing w:after="80" w:before="80" w:line="300"/>
      </w:pPr>
      <w:r>
        <w:rPr>
          <w:sz w:val="22"/>
          <w:szCs w:val="22"/>
        </w:rPr>
        <w:t xml:space="preserve">The three forms of conformance failure (structural, content, encoded-content), worked examples across risk applications, and the sourcing contract template each application is asked to declare.</w:t>
      </w:r>
    </w:p>
    <w:p>
      <w:pPr>
        <w:spacing w:after="40" w:before="40"/>
      </w:pPr>
      <w:r>
        <w:rPr>
          <w:sz w:val="22"/>
          <w:szCs w:val="22"/>
        </w:rPr>
        <w:t xml:space="preserve">🛠 </w:t>
      </w:r>
      <w:r>
        <w:rPr>
          <w:i/>
          <w:iCs/>
          <w:color w:val="2E5C8A"/>
          <w:sz w:val="22"/>
          <w:szCs w:val="22"/>
        </w:rPr>
        <w:t xml:space="preserve">[Tool link to attach in Confluence: How the data contract gets built]</w:t>
      </w:r>
    </w:p>
    <w:p>
      <w:pPr>
        <w:spacing w:after="80" w:before="80" w:line="300"/>
      </w:pPr>
      <w:r>
        <w:rPr>
          <w:sz w:val="22"/>
          <w:szCs w:val="22"/>
        </w:rPr>
        <w:t xml:space="preserve">How the data contract is composed from artefacts already in place — dimensional model, conformed entities, naming convention, Unity Catalog tags, observed lineage — rather than authored from scratch.</w:t>
      </w:r>
    </w:p>
    <w:p>
      <w:pPr>
        <w:spacing w:after="40" w:before="40"/>
      </w:pPr>
      <w:r>
        <w:rPr>
          <w:sz w:val="22"/>
          <w:szCs w:val="22"/>
        </w:rPr>
        <w:t xml:space="preserve">🛠 </w:t>
      </w:r>
      <w:r>
        <w:rPr>
          <w:i/>
          <w:iCs/>
          <w:color w:val="2E5C8A"/>
          <w:sz w:val="22"/>
          <w:szCs w:val="22"/>
        </w:rPr>
        <w:t xml:space="preserve">[Tool link to attach in Confluence: From query-based to model-based consumption]</w:t>
      </w:r>
    </w:p>
    <w:p>
      <w:pPr>
        <w:spacing w:after="80" w:before="80" w:line="300"/>
      </w:pPr>
      <w:r>
        <w:rPr>
          <w:sz w:val="22"/>
          <w:szCs w:val="22"/>
        </w:rPr>
        <w:t xml:space="preserve">The shift from developer-written one-off queries to a queryable model. The semantic layer as a concept; Databricks Metric Views as the current implementation direction.</w:t>
      </w:r>
    </w:p>
    <w:p>
      <w:pPr>
        <w:spacing w:after="40" w:before="40"/>
      </w:pPr>
      <w:r>
        <w:rPr>
          <w:sz w:val="22"/>
          <w:szCs w:val="22"/>
        </w:rPr>
        <w:t xml:space="preserve">🛠 </w:t>
      </w:r>
      <w:r>
        <w:rPr>
          <w:i/>
          <w:iCs/>
          <w:color w:val="2E5C8A"/>
          <w:sz w:val="22"/>
          <w:szCs w:val="22"/>
        </w:rPr>
        <w:t xml:space="preserve">[Tool link to attach in Confluence: A working strategy for starting]</w:t>
      </w:r>
    </w:p>
    <w:p>
      <w:pPr>
        <w:spacing w:after="80" w:before="80" w:line="300"/>
      </w:pPr>
      <w:r>
        <w:rPr>
          <w:sz w:val="22"/>
          <w:szCs w:val="22"/>
        </w:rPr>
        <w:t xml:space="preserve">The two-wave approach for sequencing the conformance work across risk product groups — within-group first, then across groups, with the enterprise canonical work proceeding in parallel.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5C8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5C8A"/>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E2A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2026-05-20T20:43:04.766Z</dcterms:created>
  <dcterms:modified xsi:type="dcterms:W3CDTF">2026-05-20T20:43:04.779Z</dcterms:modified>
</cp:coreProperties>
</file>

<file path=docProps/custom.xml><?xml version="1.0" encoding="utf-8"?>
<Properties xmlns="http://schemas.openxmlformats.org/officeDocument/2006/custom-properties" xmlns:vt="http://schemas.openxmlformats.org/officeDocument/2006/docPropsVTypes"/>
</file>