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From query-based to model-based consumption</w:t>
      </w:r>
    </w:p>
    <w:p>
      <w:pPr>
        <w:spacing w:after="120" w:before="0"/>
      </w:pPr>
      <w:r>
        <w:rPr>
          <w:i/>
          <w:iCs/>
          <w:color w:val="5B6B7D"/>
          <w:sz w:val="24"/>
          <w:szCs w:val="24"/>
        </w:rPr>
        <w:t xml:space="preserve">Sub-page of Data Modelling for Risk — the shift from one-off SQL to a queryable semantic model, and what Databricks Metric Views contribute</w:t>
      </w:r>
    </w:p>
    <w:p>
      <w:pPr>
        <w:pBdr>
          <w:bottom w:val="single" w:color="2E5C8A" w:sz="12" w:space="1"/>
        </w:pBdr>
        <w:spacing w:after="240" w:before="0"/>
      </w:pPr>
      <w:r>
        <w:t xml:space="preserve"/>
      </w:r>
    </w:p>
    <w:p>
      <w:pPr>
        <w:spacing w:after="80" w:before="80" w:line="300"/>
      </w:pPr>
      <w:r>
        <w:rPr>
          <w:sz w:val="22"/>
          <w:szCs w:val="22"/>
        </w:rPr>
        <w:t xml:space="preserve">Today, when the business has a question about risk data, the path to an answer typically runs through a developer who writes a SQL query. The next question requires the next query. Over time, hundreds of one-off queries accumulate. Each one embeds someone's interpretation of how a measure should be calculated, which tables to join, and which filters to apply.</w:t>
      </w:r>
    </w:p>
    <w:p>
      <w:pPr>
        <w:spacing w:after="80" w:before="80" w:line="300"/>
      </w:pPr>
      <w:r>
        <w:rPr>
          <w:sz w:val="22"/>
          <w:szCs w:val="22"/>
        </w:rPr>
        <w:t xml:space="preserve">This page describes the shift away from that pattern toward model-based consumption, where the definitions live in a model the business and other tools can query directly. The semantic layer is the concept; Databricks Metric Views is the current implementation direction for risk. The same concept can be implemented in other tools — dbt, MicroStrategy Mosaic, AtScale — and the framing on this page applies to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The shift, in one line: </w:t>
            </w:r>
            <w:r>
              <w:rPr>
                <w:sz w:val="22"/>
                <w:szCs w:val="22"/>
              </w:rPr>
              <w:t xml:space="preserve">definitions move out of individual queries and into a shared model. Consumers — BI tools, AI agents, ad-hoc users — query the model rather than recomputing the logic each time.</w:t>
            </w:r>
          </w:p>
        </w:tc>
      </w:tr>
    </w:tbl>
    <w:p>
      <w:pPr>
        <w:pStyle w:val="Heading2"/>
        <w:spacing w:after="160" w:before="320"/>
      </w:pPr>
      <w:r>
        <w:rPr>
          <w:b/>
          <w:bCs/>
          <w:color w:val="2E5C8A"/>
          <w:sz w:val="28"/>
          <w:szCs w:val="28"/>
        </w:rPr>
        <w:t xml:space="preserve">The query-based pattern today</w:t>
      </w:r>
    </w:p>
    <w:p>
      <w:pPr>
        <w:spacing w:after="80" w:before="80" w:line="300"/>
      </w:pPr>
      <w:r>
        <w:rPr>
          <w:sz w:val="22"/>
          <w:szCs w:val="22"/>
        </w:rPr>
        <w:t xml:space="preserve">In the current state, business questions flow through a familiar cycle:</w:t>
      </w:r>
    </w:p>
    <w:p>
      <w:pPr>
        <w:pStyle w:val="ListParagraph"/>
        <w:numPr>
          <w:ilvl w:val="0"/>
          <w:numId w:val="2"/>
        </w:numPr>
        <w:spacing w:after="40" w:before="40" w:line="280"/>
      </w:pPr>
      <w:r>
        <w:rPr>
          <w:sz w:val="22"/>
          <w:szCs w:val="22"/>
        </w:rPr>
        <w:t xml:space="preserve">A business user asks for a number — exposure by counterparty, breaches by jurisdiction, collateral coverage by issuer.</w:t>
      </w:r>
    </w:p>
    <w:p>
      <w:pPr>
        <w:pStyle w:val="ListParagraph"/>
        <w:numPr>
          <w:ilvl w:val="0"/>
          <w:numId w:val="2"/>
        </w:numPr>
        <w:spacing w:after="40" w:before="40" w:line="280"/>
      </w:pPr>
      <w:r>
        <w:rPr>
          <w:sz w:val="22"/>
          <w:szCs w:val="22"/>
        </w:rPr>
        <w:t xml:space="preserve">A developer or analyst writes a SQL query that produces the answer.</w:t>
      </w:r>
    </w:p>
    <w:p>
      <w:pPr>
        <w:pStyle w:val="ListParagraph"/>
        <w:numPr>
          <w:ilvl w:val="0"/>
          <w:numId w:val="2"/>
        </w:numPr>
        <w:spacing w:after="40" w:before="40" w:line="280"/>
      </w:pPr>
      <w:r>
        <w:rPr>
          <w:sz w:val="22"/>
          <w:szCs w:val="22"/>
        </w:rPr>
        <w:t xml:space="preserve">The query is run, the result is shared, often as a CSV or an extract.</w:t>
      </w:r>
    </w:p>
    <w:p>
      <w:pPr>
        <w:pStyle w:val="ListParagraph"/>
        <w:numPr>
          <w:ilvl w:val="0"/>
          <w:numId w:val="2"/>
        </w:numPr>
        <w:spacing w:after="40" w:before="40" w:line="280"/>
      </w:pPr>
      <w:r>
        <w:rPr>
          <w:sz w:val="22"/>
          <w:szCs w:val="22"/>
        </w:rPr>
        <w:t xml:space="preserve">The next question — even a small variation — triggers another query.</w:t>
      </w:r>
    </w:p>
    <w:p>
      <w:pPr>
        <w:spacing w:after="80" w:before="80" w:line="300"/>
      </w:pPr>
      <w:r>
        <w:rPr>
          <w:sz w:val="22"/>
          <w:szCs w:val="22"/>
        </w:rPr>
        <w:t xml:space="preserve">Each query is bespoke. Two queries answering similar questions can use slightly different logic, slightly different joins, slightly different filter conditions. The numbers they return drift apart over time, and reconciling them becomes its own ongoing activity. The definitions of the measures — what counts as exposure, how it aggregates, which dates are valid — live inside the queries, not in any shared place.</w:t>
      </w:r>
    </w:p>
    <w:p>
      <w:pPr>
        <w:pStyle w:val="Heading3"/>
        <w:spacing w:after="100" w:before="240"/>
      </w:pPr>
      <w:r>
        <w:rPr>
          <w:b/>
          <w:bCs/>
          <w:color w:val="1E2A38"/>
          <w:sz w:val="24"/>
          <w:szCs w:val="24"/>
        </w:rPr>
        <w:t xml:space="preserve">Consequences</w:t>
      </w:r>
    </w:p>
    <w:p>
      <w:pPr>
        <w:pStyle w:val="ListParagraph"/>
        <w:numPr>
          <w:ilvl w:val="0"/>
          <w:numId w:val="2"/>
        </w:numPr>
        <w:spacing w:after="40" w:before="40" w:line="280"/>
      </w:pPr>
      <w:r>
        <w:rPr>
          <w:b/>
          <w:bCs/>
          <w:sz w:val="22"/>
          <w:szCs w:val="22"/>
        </w:rPr>
        <w:t xml:space="preserve">Drift between similar reports. </w:t>
      </w:r>
      <w:r>
        <w:rPr>
          <w:sz w:val="22"/>
          <w:szCs w:val="22"/>
        </w:rPr>
        <w:t xml:space="preserve">The same metric appears with different values across reports because each report's query encoded the logic slightly differently.</w:t>
      </w:r>
    </w:p>
    <w:p>
      <w:pPr>
        <w:pStyle w:val="ListParagraph"/>
        <w:numPr>
          <w:ilvl w:val="0"/>
          <w:numId w:val="2"/>
        </w:numPr>
        <w:spacing w:after="40" w:before="40" w:line="280"/>
      </w:pPr>
      <w:r>
        <w:rPr>
          <w:b/>
          <w:bCs/>
          <w:sz w:val="22"/>
          <w:szCs w:val="22"/>
        </w:rPr>
        <w:t xml:space="preserve">Developer time spent on repetition. </w:t>
      </w:r>
      <w:r>
        <w:rPr>
          <w:sz w:val="22"/>
          <w:szCs w:val="22"/>
        </w:rPr>
        <w:t xml:space="preserve">Each new question is a new SQL effort, even when the underlying logic overlaps heavily with prior work.</w:t>
      </w:r>
    </w:p>
    <w:p>
      <w:pPr>
        <w:pStyle w:val="ListParagraph"/>
        <w:numPr>
          <w:ilvl w:val="0"/>
          <w:numId w:val="2"/>
        </w:numPr>
        <w:spacing w:after="40" w:before="40" w:line="280"/>
      </w:pPr>
      <w:r>
        <w:rPr>
          <w:b/>
          <w:bCs/>
          <w:sz w:val="22"/>
          <w:szCs w:val="22"/>
        </w:rPr>
        <w:t xml:space="preserve">Limited self-service. </w:t>
      </w:r>
      <w:r>
        <w:rPr>
          <w:sz w:val="22"/>
          <w:szCs w:val="22"/>
        </w:rPr>
        <w:t xml:space="preserve">Business users who could productively explore the data themselves are blocked by the SQL barrier and the join complexity.</w:t>
      </w:r>
    </w:p>
    <w:p>
      <w:pPr>
        <w:pStyle w:val="ListParagraph"/>
        <w:numPr>
          <w:ilvl w:val="0"/>
          <w:numId w:val="2"/>
        </w:numPr>
        <w:spacing w:after="40" w:before="40" w:line="280"/>
      </w:pPr>
      <w:r>
        <w:rPr>
          <w:b/>
          <w:bCs/>
          <w:sz w:val="22"/>
          <w:szCs w:val="22"/>
        </w:rPr>
        <w:t xml:space="preserve">Reconciliation as a routine activity. </w:t>
      </w:r>
      <w:r>
        <w:rPr>
          <w:sz w:val="22"/>
          <w:szCs w:val="22"/>
        </w:rPr>
        <w:t xml:space="preserve">When two reports disagree, neither can be defended without reverse-engineering the queries behind both.</w:t>
      </w:r>
    </w:p>
    <w:p>
      <w:pPr>
        <w:pStyle w:val="Heading2"/>
        <w:spacing w:after="160" w:before="320"/>
      </w:pPr>
      <w:r>
        <w:rPr>
          <w:b/>
          <w:bCs/>
          <w:color w:val="2E5C8A"/>
          <w:sz w:val="28"/>
          <w:szCs w:val="28"/>
        </w:rPr>
        <w:t xml:space="preserve">The semantic model as the alternative</w:t>
      </w:r>
    </w:p>
    <w:p>
      <w:pPr>
        <w:spacing w:after="80" w:before="80" w:line="300"/>
      </w:pPr>
      <w:r>
        <w:rPr>
          <w:sz w:val="22"/>
          <w:szCs w:val="22"/>
        </w:rPr>
        <w:t xml:space="preserve">A semantic model is a layer that sits between the physical data and the consumers of that data. It declares, once, the things that today are buried in scattered queries:</w:t>
      </w:r>
    </w:p>
    <w:p>
      <w:pPr>
        <w:pStyle w:val="ListParagraph"/>
        <w:numPr>
          <w:ilvl w:val="0"/>
          <w:numId w:val="2"/>
        </w:numPr>
        <w:spacing w:after="40" w:before="40" w:line="280"/>
      </w:pPr>
      <w:r>
        <w:rPr>
          <w:b/>
          <w:bCs/>
          <w:sz w:val="22"/>
          <w:szCs w:val="22"/>
        </w:rPr>
        <w:t xml:space="preserve">Measures and their aggregation rules. </w:t>
      </w:r>
      <w:r>
        <w:rPr>
          <w:sz w:val="22"/>
          <w:szCs w:val="22"/>
        </w:rPr>
        <w:t xml:space="preserve">Sum, average, max, weighted average, semi-additive logic for measures that cannot be summed across all dimensions.</w:t>
      </w:r>
    </w:p>
    <w:p>
      <w:pPr>
        <w:pStyle w:val="ListParagraph"/>
        <w:numPr>
          <w:ilvl w:val="0"/>
          <w:numId w:val="2"/>
        </w:numPr>
        <w:spacing w:after="40" w:before="40" w:line="280"/>
      </w:pPr>
      <w:r>
        <w:rPr>
          <w:b/>
          <w:bCs/>
          <w:sz w:val="22"/>
          <w:szCs w:val="22"/>
        </w:rPr>
        <w:t xml:space="preserve">Dimensions and their hierarchies. </w:t>
      </w:r>
      <w:r>
        <w:rPr>
          <w:sz w:val="22"/>
          <w:szCs w:val="22"/>
        </w:rPr>
        <w:t xml:space="preserve">Counterparty rolls up to Legal Entity rolls up to Ultimate Parent. Trade rolls up to Netting Set rolls up to Agreement. Drill paths are declared, not improvised.</w:t>
      </w:r>
    </w:p>
    <w:p>
      <w:pPr>
        <w:pStyle w:val="ListParagraph"/>
        <w:numPr>
          <w:ilvl w:val="0"/>
          <w:numId w:val="2"/>
        </w:numPr>
        <w:spacing w:after="40" w:before="40" w:line="280"/>
      </w:pPr>
      <w:r>
        <w:rPr>
          <w:b/>
          <w:bCs/>
          <w:sz w:val="22"/>
          <w:szCs w:val="22"/>
        </w:rPr>
        <w:t xml:space="preserve">Joins between fact and dimension tables. </w:t>
      </w:r>
      <w:r>
        <w:rPr>
          <w:sz w:val="22"/>
          <w:szCs w:val="22"/>
        </w:rPr>
        <w:t xml:space="preserve">Each query no longer needs to re-derive how the tables connect; the model carries the join definitions.</w:t>
      </w:r>
    </w:p>
    <w:p>
      <w:pPr>
        <w:pStyle w:val="ListParagraph"/>
        <w:numPr>
          <w:ilvl w:val="0"/>
          <w:numId w:val="2"/>
        </w:numPr>
        <w:spacing w:after="40" w:before="40" w:line="280"/>
      </w:pPr>
      <w:r>
        <w:rPr>
          <w:b/>
          <w:bCs/>
          <w:sz w:val="22"/>
          <w:szCs w:val="22"/>
        </w:rPr>
        <w:t xml:space="preserve">Compound and derived metrics. </w:t>
      </w:r>
      <w:r>
        <w:rPr>
          <w:sz w:val="22"/>
          <w:szCs w:val="22"/>
        </w:rPr>
        <w:t xml:space="preserve">Ratios, coverage percentages, regulatory ratios — defined as formulas that recompute correctly at any grouping the consumer chooses.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Query-based vs model-based consumption ]</w:t>
            </w:r>
          </w:p>
          <w:p>
            <w:pPr>
              <w:spacing w:after="40" w:before="40"/>
            </w:pPr>
            <w:r>
              <w:rPr>
                <w:i/>
                <w:iCs/>
                <w:color w:val="5B6B7D"/>
                <w:sz w:val="20"/>
                <w:szCs w:val="20"/>
              </w:rPr>
              <w:t xml:space="preserve">Source: HTML reference doc — Figure 3 (adapted)</w:t>
            </w:r>
          </w:p>
          <w:p>
            <w:pPr>
              <w:spacing w:after="40" w:before="40"/>
            </w:pPr>
            <w:r>
              <w:rPr>
                <w:color w:val="5B6B7D"/>
                <w:sz w:val="20"/>
                <w:szCs w:val="20"/>
              </w:rPr>
              <w:t xml:space="preserve">Left: many individual queries written by developers, each encoding its own logic. Right: a semantic model layered over the physical data, queried by BI tools, AI agents, ad-hoc users, and reports — all going through the same governed definitions.</w:t>
            </w:r>
          </w:p>
        </w:tc>
      </w:tr>
    </w:tbl>
    <w:p>
      <w:pPr>
        <w:spacing w:after="80" w:before="80" w:line="300"/>
      </w:pPr>
      <w:r>
        <w:rPr>
          <w:sz w:val="22"/>
          <w:szCs w:val="22"/>
        </w:rPr>
        <w:t xml:space="preserve">Once these are declared in the model, consumers no longer need to write the joins or aggregation logic themselves. They ask the model for "exposure by counterparty filtered to a date" and the model knows what those words mean. The same model serves every consumer — a BI dashboard, a natural-language assistant, an analyst running ad-hoc queries, a regulatory report.</w:t>
      </w:r>
    </w:p>
    <w:p>
      <w:pPr>
        <w:pStyle w:val="Heading2"/>
        <w:spacing w:after="160" w:before="320"/>
      </w:pPr>
      <w:r>
        <w:rPr>
          <w:b/>
          <w:bCs/>
          <w:color w:val="2E5C8A"/>
          <w:sz w:val="28"/>
          <w:szCs w:val="28"/>
        </w:rPr>
        <w:t xml:space="preserve">Databricks Metric Views — the current implementation direction</w:t>
      </w:r>
    </w:p>
    <w:p>
      <w:pPr>
        <w:spacing w:after="80" w:before="80" w:line="300"/>
      </w:pPr>
      <w:r>
        <w:rPr>
          <w:sz w:val="22"/>
          <w:szCs w:val="22"/>
        </w:rPr>
        <w:t xml:space="preserve">The semantic layer described above is a concept. In the current risk data architecture, the implementation direction is Databricks Metric Views — a feature of Unity Catalog that allows measures, dimensions, and joins to be declared as governed objects on top of physical tables.</w:t>
      </w:r>
    </w:p>
    <w:p>
      <w:pPr>
        <w:spacing w:after="80" w:before="80" w:line="300"/>
      </w:pPr>
      <w:r>
        <w:rPr>
          <w:sz w:val="22"/>
          <w:szCs w:val="22"/>
        </w:rPr>
        <w:t xml:space="preserve">A Metric View carries the definitions inside the data platform itself. Once defined, consumers — BI tools, SQL clients, AI agents — can query the Metric View directly. The view handles the joins, the aggregation, and the dimensional grouping consistently for every consumer.</w:t>
      </w:r>
    </w:p>
    <w:p>
      <w:pPr>
        <w:pStyle w:val="Heading3"/>
        <w:spacing w:after="100" w:before="240"/>
      </w:pPr>
      <w:r>
        <w:rPr>
          <w:b/>
          <w:bCs/>
          <w:color w:val="1E2A38"/>
          <w:sz w:val="24"/>
          <w:szCs w:val="24"/>
        </w:rPr>
        <w:t xml:space="preserve">Why Metric Views specifically</w:t>
      </w:r>
    </w:p>
    <w:p>
      <w:pPr>
        <w:pStyle w:val="ListParagraph"/>
        <w:numPr>
          <w:ilvl w:val="0"/>
          <w:numId w:val="2"/>
        </w:numPr>
        <w:spacing w:after="40" w:before="40" w:line="280"/>
      </w:pPr>
      <w:r>
        <w:rPr>
          <w:b/>
          <w:bCs/>
          <w:sz w:val="22"/>
          <w:szCs w:val="22"/>
        </w:rPr>
        <w:t xml:space="preserve">Co-located with the data. </w:t>
      </w:r>
      <w:r>
        <w:rPr>
          <w:sz w:val="22"/>
          <w:szCs w:val="22"/>
        </w:rPr>
        <w:t xml:space="preserve">Metric Views live in Unity Catalog alongside the tables they reference. Governance, lineage, and access controls operate on the same plane as the underlying data.</w:t>
      </w:r>
    </w:p>
    <w:p>
      <w:pPr>
        <w:pStyle w:val="ListParagraph"/>
        <w:numPr>
          <w:ilvl w:val="0"/>
          <w:numId w:val="2"/>
        </w:numPr>
        <w:spacing w:after="40" w:before="40" w:line="280"/>
      </w:pPr>
      <w:r>
        <w:rPr>
          <w:b/>
          <w:bCs/>
          <w:sz w:val="22"/>
          <w:szCs w:val="22"/>
        </w:rPr>
        <w:t xml:space="preserve">Open and queryable. </w:t>
      </w:r>
      <w:r>
        <w:rPr>
          <w:sz w:val="22"/>
          <w:szCs w:val="22"/>
        </w:rPr>
        <w:t xml:space="preserve">Any consumer that can query Databricks can query a Metric View. Not tied to a specific BI tool.</w:t>
      </w:r>
    </w:p>
    <w:p>
      <w:pPr>
        <w:pStyle w:val="ListParagraph"/>
        <w:numPr>
          <w:ilvl w:val="0"/>
          <w:numId w:val="2"/>
        </w:numPr>
        <w:spacing w:after="40" w:before="40" w:line="280"/>
      </w:pPr>
      <w:r>
        <w:rPr>
          <w:b/>
          <w:bCs/>
          <w:sz w:val="22"/>
          <w:szCs w:val="22"/>
        </w:rPr>
        <w:t xml:space="preserve">Compatible with the broader direction of travel. </w:t>
      </w:r>
      <w:r>
        <w:rPr>
          <w:sz w:val="22"/>
          <w:szCs w:val="22"/>
        </w:rPr>
        <w:t xml:space="preserve">Risk's data platform is already on Databricks; Metric Views extend the existing stack rather than introducing a parallel tool.</w:t>
      </w:r>
    </w:p>
    <w:p>
      <w:pPr>
        <w:spacing w:after="80" w:before="80" w:line="300"/>
      </w:pPr>
      <w:r>
        <w:rPr>
          <w:sz w:val="22"/>
          <w:szCs w:val="22"/>
        </w:rPr>
        <w:t xml:space="preserve">The concept does not depend on this particular implementation. The same model could be expressed in dbt's semantic layer, in a BI tool's metadata layer like Mosaic, or in a standalone tool like AtScale. What matters is that the model exists once, somewhere, and is the source of truth for consumers.</w:t>
      </w:r>
    </w:p>
    <w:p>
      <w:pPr>
        <w:spacing w:after="40" w:before="40"/>
      </w:pPr>
      <w:r>
        <w:rPr>
          <w:sz w:val="22"/>
          <w:szCs w:val="22"/>
        </w:rPr>
        <w:t xml:space="preserve">🛠 </w:t>
      </w:r>
      <w:r>
        <w:rPr>
          <w:i/>
          <w:iCs/>
          <w:color w:val="2E5C8A"/>
          <w:sz w:val="22"/>
          <w:szCs w:val="22"/>
        </w:rPr>
        <w:t xml:space="preserve">[Tool link to attach in Confluence: Databricks Metric Views — reference documentation]</w:t>
      </w:r>
    </w:p>
    <w:p>
      <w:pPr>
        <w:spacing w:after="40" w:before="40"/>
      </w:pPr>
      <w:r>
        <w:rPr>
          <w:sz w:val="22"/>
          <w:szCs w:val="22"/>
        </w:rPr>
        <w:t xml:space="preserve">🛠 </w:t>
      </w:r>
      <w:r>
        <w:rPr>
          <w:i/>
          <w:iCs/>
          <w:color w:val="2E5C8A"/>
          <w:sz w:val="22"/>
          <w:szCs w:val="22"/>
        </w:rPr>
        <w:t xml:space="preserve">[Tool link to attach in Confluence: Standards &amp; Artifacts Library — Section H, Semantic Layer Standard]</w:t>
      </w:r>
    </w:p>
    <w:p>
      <w:pPr>
        <w:pStyle w:val="Heading2"/>
        <w:spacing w:after="160" w:before="320"/>
      </w:pPr>
      <w:r>
        <w:rPr>
          <w:b/>
          <w:bCs/>
          <w:color w:val="2E5C8A"/>
          <w:sz w:val="28"/>
          <w:szCs w:val="28"/>
        </w:rPr>
        <w:t xml:space="preserve">What this means in practice</w:t>
      </w:r>
    </w:p>
    <w:p>
      <w:pPr>
        <w:pStyle w:val="Heading3"/>
        <w:spacing w:after="100" w:before="240"/>
      </w:pPr>
      <w:r>
        <w:rPr>
          <w:b/>
          <w:bCs/>
          <w:color w:val="1E2A38"/>
          <w:sz w:val="24"/>
          <w:szCs w:val="24"/>
        </w:rPr>
        <w:t xml:space="preserve">For developers</w:t>
      </w:r>
    </w:p>
    <w:p>
      <w:pPr>
        <w:spacing w:after="80" w:before="80" w:line="300"/>
      </w:pPr>
      <w:r>
        <w:rPr>
          <w:sz w:val="22"/>
          <w:szCs w:val="22"/>
        </w:rPr>
        <w:t xml:space="preserve">Time shifts from writing one-off queries to building durable models. The work becomes building Metric Views once, defining the measures and joins carefully, and maintaining them as the data evolves. The same effort that previously produced one report now produces a queryable surface for many consumers.</w:t>
      </w:r>
    </w:p>
    <w:p>
      <w:pPr>
        <w:pStyle w:val="Heading3"/>
        <w:spacing w:after="100" w:before="240"/>
      </w:pPr>
      <w:r>
        <w:rPr>
          <w:b/>
          <w:bCs/>
          <w:color w:val="1E2A38"/>
          <w:sz w:val="24"/>
          <w:szCs w:val="24"/>
        </w:rPr>
        <w:t xml:space="preserve">For Data Product Owners</w:t>
      </w:r>
    </w:p>
    <w:p>
      <w:pPr>
        <w:spacing w:after="80" w:before="80" w:line="300"/>
      </w:pPr>
      <w:r>
        <w:rPr>
          <w:sz w:val="22"/>
          <w:szCs w:val="22"/>
        </w:rPr>
        <w:t xml:space="preserve">The Data Product Owner becomes the bridge between business intent and the model. They are responsible for ensuring the measures, dimensions, and definitions in the model match the business questions consumers actually ask. This is a different role from a developer — closer to a product owner than to an engineer.</w:t>
      </w:r>
    </w:p>
    <w:p>
      <w:pPr>
        <w:pStyle w:val="Heading3"/>
        <w:spacing w:after="100" w:before="240"/>
      </w:pPr>
      <w:r>
        <w:rPr>
          <w:b/>
          <w:bCs/>
          <w:color w:val="1E2A38"/>
          <w:sz w:val="24"/>
          <w:szCs w:val="24"/>
        </w:rPr>
        <w:t xml:space="preserve">For business consumers</w:t>
      </w:r>
    </w:p>
    <w:p>
      <w:pPr>
        <w:spacing w:after="80" w:before="80" w:line="300"/>
      </w:pPr>
      <w:r>
        <w:rPr>
          <w:sz w:val="22"/>
          <w:szCs w:val="22"/>
        </w:rPr>
        <w:t xml:space="preserve">Self-service becomes practical. A consumer can ask the model for exposure by counterparty by date without needing to know which table holds what, which joins to use, or how aggregation should behave. The model answers consistently, and the definitions are governed centrally.</w:t>
      </w:r>
    </w:p>
    <w:p>
      <w:pPr>
        <w:pStyle w:val="Heading3"/>
        <w:spacing w:after="100" w:before="240"/>
      </w:pPr>
      <w:r>
        <w:rPr>
          <w:b/>
          <w:bCs/>
          <w:color w:val="1E2A38"/>
          <w:sz w:val="24"/>
          <w:szCs w:val="24"/>
        </w:rPr>
        <w:t xml:space="preserve">For AI and natural-language access</w:t>
      </w:r>
    </w:p>
    <w:p>
      <w:pPr>
        <w:spacing w:after="80" w:before="80" w:line="300"/>
      </w:pPr>
      <w:r>
        <w:rPr>
          <w:sz w:val="22"/>
          <w:szCs w:val="22"/>
        </w:rPr>
        <w:t xml:space="preserve">An AI agent or natural-language tool needs a target it can reason against. Asking the agent to write SQL against raw tables produces inconsistent results because the agent has to infer the joins, the aggregation rules, and the business meaning each time. Asking the agent to query a Metric View produces consistent results because the meaning is already declared. The semantic model is what makes natural-language access to risk data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Headline: </w:t>
            </w:r>
            <w:r>
              <w:rPr>
                <w:sz w:val="22"/>
                <w:szCs w:val="22"/>
              </w:rPr>
              <w:t xml:space="preserve">the shift from query-based to model-based consumption is not about replacing SQL with something else. SQL still runs underneath. The shift is about moving the definitions of measures, dimensions, joins, and aggregation rules out of individual queries and into a shared, governed model that every consumer queries through.</w:t>
            </w:r>
          </w:p>
        </w:tc>
      </w:tr>
    </w:tbl>
    <w:p>
      <w:pPr>
        <w:pStyle w:val="Heading2"/>
        <w:spacing w:after="160" w:before="320"/>
      </w:pPr>
      <w:r>
        <w:rPr>
          <w:b/>
          <w:bCs/>
          <w:color w:val="2E5C8A"/>
          <w:sz w:val="28"/>
          <w:szCs w:val="28"/>
        </w:rPr>
        <w:t xml:space="preserve">Where this connects</w:t>
      </w:r>
    </w:p>
    <w:p>
      <w:pPr>
        <w:spacing w:after="80" w:before="80" w:line="300"/>
      </w:pPr>
      <w:r>
        <w:rPr>
          <w:sz w:val="22"/>
          <w:szCs w:val="22"/>
        </w:rPr>
        <w:t xml:space="preserve">This shift depends on the modelling work described in the parent page. A semantic model can only be built on top of a dimensional model. Without the underlying fact and dimension tables, there is nothing for the Metric View to reference.</w:t>
      </w:r>
    </w:p>
    <w:p>
      <w:pPr>
        <w:spacing w:after="80" w:before="80" w:line="300"/>
      </w:pPr>
      <w:r>
        <w:rPr>
          <w:sz w:val="22"/>
          <w:szCs w:val="22"/>
        </w:rPr>
        <w:t xml:space="preserve">It also depends on the conformance work. A semantic model that references a non-conformed Counterparty produces consistent results for queries against that one application's data, but cannot be safely extended across applications. Conformance is what makes the model usable beyond the boundary of any single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This shift depends on</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Where it lives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 dimensional model — facts and conformed dimensions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Parent page: Data Modelling for Risk</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Conformed entities — same logical meaning across applications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Sub-page: Conformance — the longer view</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 data contract that declares grain, measures, and rules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Sub-page: How the data contract gets built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Working strategy for sequencing the work</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Sub-page: A working strategy for starting</w:t>
            </w:r>
          </w:p>
        </w:tc>
      </w:tr>
    </w:tbl>
    <w:p>
      <w:pPr>
        <w:pStyle w:val="Heading2"/>
        <w:spacing w:after="160" w:before="320"/>
      </w:pPr>
      <w:r>
        <w:rPr>
          <w:b/>
          <w:bCs/>
          <w:color w:val="2E5C8A"/>
          <w:sz w:val="28"/>
          <w:szCs w:val="28"/>
        </w:rPr>
        <w:t xml:space="preserve">Related pages</w:t>
      </w:r>
    </w:p>
    <w:p>
      <w:pPr>
        <w:spacing w:after="40" w:before="40"/>
      </w:pPr>
      <w:r>
        <w:rPr>
          <w:sz w:val="22"/>
          <w:szCs w:val="22"/>
        </w:rPr>
        <w:t xml:space="preserve">🛠 </w:t>
      </w:r>
      <w:r>
        <w:rPr>
          <w:i/>
          <w:iCs/>
          <w:color w:val="2E5C8A"/>
          <w:sz w:val="22"/>
          <w:szCs w:val="22"/>
        </w:rPr>
        <w:t xml:space="preserve">[Tool link to attach in Confluence: Data Modelling for Risk (parent page)]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40" w:before="40"/>
      </w:pPr>
      <w:r>
        <w:rPr>
          <w:sz w:val="22"/>
          <w:szCs w:val="22"/>
        </w:rPr>
        <w:t xml:space="preserve">🛠 </w:t>
      </w:r>
      <w:r>
        <w:rPr>
          <w:i/>
          <w:iCs/>
          <w:color w:val="2E5C8A"/>
          <w:sz w:val="22"/>
          <w:szCs w:val="22"/>
        </w:rPr>
        <w:t xml:space="preserve">[Tool link to attach in Confluence: How the data contract gets built]</w:t>
      </w:r>
    </w:p>
    <w:p>
      <w:pPr>
        <w:spacing w:after="40" w:before="40"/>
      </w:pPr>
      <w:r>
        <w:rPr>
          <w:sz w:val="22"/>
          <w:szCs w:val="22"/>
        </w:rPr>
        <w:t xml:space="preserve">🛠 </w:t>
      </w:r>
      <w:r>
        <w:rPr>
          <w:i/>
          <w:iCs/>
          <w:color w:val="2E5C8A"/>
          <w:sz w:val="22"/>
          <w:szCs w:val="22"/>
        </w:rPr>
        <w:t xml:space="preserve">[Tool link to attach in Confluence: A working strategy for starting]</w:t>
      </w:r>
    </w:p>
    <w:p>
      <w:pPr>
        <w:spacing w:after="40" w:before="40"/>
      </w:pPr>
      <w:r>
        <w:rPr>
          <w:sz w:val="22"/>
          <w:szCs w:val="22"/>
        </w:rPr>
        <w:t xml:space="preserve">🛠 </w:t>
      </w:r>
      <w:r>
        <w:rPr>
          <w:i/>
          <w:iCs/>
          <w:color w:val="2E5C8A"/>
          <w:sz w:val="22"/>
          <w:szCs w:val="22"/>
        </w:rPr>
        <w:t xml:space="preserve">[Tool link to attach in Confluence: Databricks Metric Views — reference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2026-05-21T12:25:06.447Z</dcterms:created>
  <dcterms:modified xsi:type="dcterms:W3CDTF">2026-05-21T12:25:06.464Z</dcterms:modified>
</cp:coreProperties>
</file>

<file path=docProps/custom.xml><?xml version="1.0" encoding="utf-8"?>
<Properties xmlns="http://schemas.openxmlformats.org/officeDocument/2006/custom-properties" xmlns:vt="http://schemas.openxmlformats.org/officeDocument/2006/docPropsVTypes"/>
</file>