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Data Modelling for Risk — change instructions</w:t>
      </w:r>
    </w:p>
    <w:p>
      <w:pPr>
        <w:spacing w:after="120" w:before="0"/>
      </w:pPr>
      <w:r>
        <w:rPr>
          <w:i/>
          <w:iCs/>
          <w:color w:val="5B6B7D"/>
          <w:sz w:val="24"/>
          <w:szCs w:val="24"/>
        </w:rPr>
        <w:t xml:space="preserve">What to update on the main Confluence page following the recent expansion of the modelling section. Each NEW or CHANGED block below is the content to insert or replace at the indicated location.</w:t>
      </w:r>
    </w:p>
    <w:p>
      <w:pPr>
        <w:pBdr>
          <w:bottom w:val="single" w:color="2E5C8A" w:sz="12" w:space="1"/>
        </w:pBdr>
        <w:spacing w:after="240" w:before="0"/>
      </w:pPr>
      <w:r>
        <w:t xml:space="preserve"/>
      </w:r>
    </w:p>
    <w:p>
      <w:pPr>
        <w:spacing w:after="80" w:before="80" w:line="300"/>
      </w:pPr>
      <w:r>
        <w:rPr>
          <w:sz w:val="22"/>
          <w:szCs w:val="22"/>
        </w:rPr>
        <w:t xml:space="preserve">This document is a focused diff against the previously-issued main page. It contains only the sections that should be added or modified — the rest of the main page stays as it is. Each block is clearly marked:</w:t>
      </w:r>
    </w:p>
    <w:p>
      <w:pPr>
        <w:pStyle w:val="ListParagraph"/>
        <w:numPr>
          <w:ilvl w:val="0"/>
          <w:numId w:val="2"/>
        </w:numPr>
        <w:spacing w:after="40" w:before="40" w:line="280"/>
      </w:pPr>
      <w:r>
        <w:rPr>
          <w:b/>
          <w:bCs/>
          <w:color w:val="C04A3D"/>
          <w:sz w:val="22"/>
          <w:szCs w:val="22"/>
        </w:rPr>
        <w:t xml:space="preserve">NEW </w:t>
      </w:r>
      <w:r>
        <w:rPr>
          <w:sz w:val="22"/>
          <w:szCs w:val="22"/>
        </w:rPr>
        <w:t xml:space="preserve">— content that does not exist in the current main page; insert at the specified location.</w:t>
      </w:r>
    </w:p>
    <w:p>
      <w:pPr>
        <w:pStyle w:val="ListParagraph"/>
        <w:numPr>
          <w:ilvl w:val="0"/>
          <w:numId w:val="2"/>
        </w:numPr>
        <w:spacing w:after="40" w:before="40" w:line="280"/>
      </w:pPr>
      <w:r>
        <w:rPr>
          <w:b/>
          <w:bCs/>
          <w:color w:val="C04A3D"/>
          <w:sz w:val="22"/>
          <w:szCs w:val="22"/>
        </w:rPr>
        <w:t xml:space="preserve">CHANGED </w:t>
      </w:r>
      <w:r>
        <w:rPr>
          <w:sz w:val="22"/>
          <w:szCs w:val="22"/>
        </w:rPr>
        <w:t xml:space="preserve">— content that replaces existing material in the specified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How to use this document: </w:t>
            </w:r>
            <w:r>
              <w:rPr>
                <w:sz w:val="22"/>
                <w:szCs w:val="22"/>
              </w:rPr>
              <w:t xml:space="preserve">for each marked block below, find the indicated section in the main Confluence page and either insert the new content (NEW) or replace the existing material with the updated content (CHANGED). Sections of the main page not mentioned here remain unchanged.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3D" w:sz="8"/>
              <w:left w:val="single" w:color="C04A3D" w:sz="24"/>
              <w:bottom w:val="single" w:color="C04A3D" w:sz="8"/>
              <w:right w:val="single" w:color="C04A3D" w:sz="8"/>
            </w:tcBorders>
            <w:shd w:fill="FFF5F5" w:val="clear"/>
            <w:tcMar>
              <w:top w:type="dxa" w:w="160"/>
              <w:left w:type="dxa" w:w="260"/>
              <w:bottom w:type="dxa" w:w="160"/>
              <w:right w:type="dxa" w:w="200"/>
            </w:tcMar>
          </w:tcPr>
          <w:p>
            <w:pPr>
              <w:spacing w:after="40" w:before="40"/>
            </w:pPr>
            <w:r>
              <w:rPr>
                <w:b/>
                <w:bCs/>
                <w:color w:val="C04A3D"/>
                <w:sz w:val="24"/>
                <w:szCs w:val="24"/>
              </w:rPr>
              <w:t xml:space="preserve">*** CHANGED ***  </w:t>
            </w:r>
            <w:r>
              <w:rPr>
                <w:color w:val="1E2A38"/>
                <w:sz w:val="22"/>
                <w:szCs w:val="22"/>
              </w:rPr>
              <w:t xml:space="preserve">Section: "Inside the JSON — a domain model waiting to be opened"</w:t>
            </w:r>
          </w:p>
        </w:tc>
      </w:tr>
    </w:tbl>
    <w:p>
      <w:pPr>
        <w:pStyle w:val="Heading3"/>
        <w:spacing w:after="100" w:before="240"/>
      </w:pPr>
      <w:r>
        <w:rPr>
          <w:b/>
          <w:bCs/>
          <w:color w:val="1E2A38"/>
          <w:sz w:val="24"/>
          <w:szCs w:val="24"/>
        </w:rPr>
        <w:t xml:space="preserve">New paragraph to add at the end of this section</w:t>
      </w:r>
    </w:p>
    <w:p>
      <w:pPr>
        <w:spacing w:after="80" w:before="80" w:line="300"/>
      </w:pPr>
      <w:r>
        <w:rPr>
          <w:sz w:val="22"/>
          <w:szCs w:val="22"/>
        </w:rPr>
        <w:t xml:space="preserve">The JSON tree structure itself, branch by branch, is shown in the HTML reference document — Figure 1b. Each branch corresponds to one of the canonical entities or to a measurement at the agreement-grain. The tree makes the relationship between the raw extract and the canonical model immediately visible: agreements, counterparties, trades, asset holdings, and asset movements are entities; exposure summary and margin calls are measurements that become facts in the analytical model.</w:t>
      </w:r>
    </w:p>
    <w:p>
      <w:pPr>
        <w:spacing w:after="40" w:before="40"/>
      </w:pPr>
      <w:r>
        <w:rPr>
          <w:sz w:val="22"/>
          <w:szCs w:val="22"/>
        </w:rPr>
        <w:t xml:space="preserve">🛠 </w:t>
      </w:r>
      <w:r>
        <w:rPr>
          <w:i/>
          <w:iCs/>
          <w:color w:val="2E5C8A"/>
          <w:sz w:val="22"/>
          <w:szCs w:val="22"/>
        </w:rPr>
        <w:t xml:space="preserve">[Tool link to attach in Confluence: HTML reference document — Figure 1b (JSON tree)]</w:t>
      </w:r>
    </w:p>
    <w:p>
      <w:pPr>
        <w:pStyle w:val="Heading3"/>
        <w:spacing w:after="100" w:before="240"/>
      </w:pPr>
      <w:r>
        <w:rPr>
          <w:b/>
          <w:bCs/>
          <w:color w:val="1E2A38"/>
          <w:sz w:val="24"/>
          <w:szCs w:val="24"/>
        </w:rPr>
        <w:t xml:space="preserve">Image placeholder to add to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CMOS collateral JSON tree exploded into canonical entities ]</w:t>
            </w:r>
          </w:p>
          <w:p>
            <w:pPr>
              <w:spacing w:after="40" w:before="40"/>
            </w:pPr>
            <w:r>
              <w:rPr>
                <w:i/>
                <w:iCs/>
                <w:color w:val="5B6B7D"/>
                <w:sz w:val="20"/>
                <w:szCs w:val="20"/>
              </w:rPr>
              <w:t xml:space="preserve">Source: HTML reference doc — Figure 1b</w:t>
            </w:r>
          </w:p>
          <w:p>
            <w:pPr>
              <w:spacing w:after="40" w:before="40"/>
            </w:pPr>
            <w:r>
              <w:rPr>
                <w:color w:val="5B6B7D"/>
                <w:sz w:val="20"/>
                <w:szCs w:val="20"/>
              </w:rPr>
              <w:t xml:space="preserve">The nested JSON tree from the CMOS collateral extract, displayed in colour-coded monospace with each branch labelled. Shows agreement at root, with agreements, counterparties (td/cp), tradeExposureList, exposureSummary (IM and VM), marginCalls, assetHoldings, and assetMovements branches. Comments inline showing which branches are entities and which are measurements.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3D" w:sz="8"/>
              <w:left w:val="single" w:color="C04A3D" w:sz="24"/>
              <w:bottom w:val="single" w:color="C04A3D" w:sz="8"/>
              <w:right w:val="single" w:color="C04A3D" w:sz="8"/>
            </w:tcBorders>
            <w:shd w:fill="FFF5F5" w:val="clear"/>
            <w:tcMar>
              <w:top w:type="dxa" w:w="160"/>
              <w:left w:type="dxa" w:w="260"/>
              <w:bottom w:type="dxa" w:w="160"/>
              <w:right w:type="dxa" w:w="200"/>
            </w:tcMar>
          </w:tcPr>
          <w:p>
            <w:pPr>
              <w:spacing w:after="40" w:before="40"/>
            </w:pPr>
            <w:r>
              <w:rPr>
                <w:b/>
                <w:bCs/>
                <w:color w:val="C04A3D"/>
                <w:sz w:val="24"/>
                <w:szCs w:val="24"/>
              </w:rPr>
              <w:t xml:space="preserve">*** CHANGED ***  </w:t>
            </w:r>
            <w:r>
              <w:rPr>
                <w:color w:val="1E2A38"/>
                <w:sz w:val="22"/>
                <w:szCs w:val="22"/>
              </w:rPr>
              <w:t xml:space="preserve">Section: "An analytical model"</w:t>
            </w:r>
          </w:p>
        </w:tc>
      </w:tr>
    </w:tbl>
    <w:p>
      <w:pPr>
        <w:pStyle w:val="Heading3"/>
        <w:spacing w:after="100" w:before="240"/>
      </w:pPr>
      <w:r>
        <w:rPr>
          <w:b/>
          <w:bCs/>
          <w:color w:val="1E2A38"/>
          <w:sz w:val="24"/>
          <w:szCs w:val="24"/>
        </w:rPr>
        <w:t xml:space="preserve">New paragraph to add after the star schema introduction</w:t>
      </w:r>
    </w:p>
    <w:p>
      <w:pPr>
        <w:spacing w:after="80" w:before="80" w:line="300"/>
      </w:pPr>
      <w:r>
        <w:rPr>
          <w:sz w:val="22"/>
          <w:szCs w:val="22"/>
        </w:rPr>
        <w:t xml:space="preserve">The full value of the dimensional model emerges when more than one fact shares the same dimensions. The collateral domain has several distinct facts — exposure, margin calls, settlements, disputes, collateral positions — each at its own grain. When all of them point to the same Counterparty, Agreement, and Date dimensions, cross-fact analysis becomes safe. Slicing exposure by counterparty rating and slicing margin calls by counterparty rating produce numbers that combine, because the rating comes from one governed source. This pattern, conformed dimensions, is what makes the dimensional approach pay back across an entire domain rather than only within one report. The full multi-fact view for collateral is in the Worked example — Collateral sub-page.</w:t>
      </w:r>
    </w:p>
    <w:p>
      <w:pPr>
        <w:spacing w:after="40" w:before="40"/>
      </w:pPr>
      <w:r>
        <w:rPr>
          <w:sz w:val="22"/>
          <w:szCs w:val="22"/>
        </w:rPr>
        <w:t xml:space="preserve">🛠 </w:t>
      </w:r>
      <w:r>
        <w:rPr>
          <w:i/>
          <w:iCs/>
          <w:color w:val="2E5C8A"/>
          <w:sz w:val="22"/>
          <w:szCs w:val="22"/>
        </w:rPr>
        <w:t xml:space="preserve">[Tool link to attach in Confluence: Worked example — Collateral (full multi-fact star schema)]</w:t>
      </w:r>
    </w:p>
    <w:p>
      <w:pPr>
        <w:spacing w:after="40" w:before="40"/>
      </w:pPr>
      <w:r>
        <w:rPr>
          <w:sz w:val="22"/>
          <w:szCs w:val="22"/>
        </w:rPr>
        <w:t xml:space="preserve">🛠 </w:t>
      </w:r>
      <w:r>
        <w:rPr>
          <w:i/>
          <w:iCs/>
          <w:color w:val="2E5C8A"/>
          <w:sz w:val="22"/>
          <w:szCs w:val="22"/>
        </w:rPr>
        <w:t xml:space="preserve">[Tool link to attach in Confluence: HTML reference document — Figure 2b (multi-fact conformed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3D" w:sz="8"/>
              <w:left w:val="single" w:color="C04A3D" w:sz="24"/>
              <w:bottom w:val="single" w:color="C04A3D" w:sz="8"/>
              <w:right w:val="single" w:color="C04A3D" w:sz="8"/>
            </w:tcBorders>
            <w:shd w:fill="FFF5F5" w:val="clear"/>
            <w:tcMar>
              <w:top w:type="dxa" w:w="160"/>
              <w:left w:type="dxa" w:w="260"/>
              <w:bottom w:type="dxa" w:w="160"/>
              <w:right w:type="dxa" w:w="200"/>
            </w:tcMar>
          </w:tcPr>
          <w:p>
            <w:pPr>
              <w:spacing w:after="40" w:before="40"/>
            </w:pPr>
            <w:r>
              <w:rPr>
                <w:b/>
                <w:bCs/>
                <w:color w:val="C04A3D"/>
                <w:sz w:val="24"/>
                <w:szCs w:val="24"/>
              </w:rPr>
              <w:t xml:space="preserve">*** CHANGED ***  </w:t>
            </w:r>
            <w:r>
              <w:rPr>
                <w:color w:val="1E2A38"/>
                <w:sz w:val="22"/>
                <w:szCs w:val="22"/>
              </w:rPr>
              <w:t xml:space="preserve">Section: "Conformance — defined once, used everywhere"</w:t>
            </w:r>
          </w:p>
        </w:tc>
      </w:tr>
    </w:tbl>
    <w:p>
      <w:pPr>
        <w:pStyle w:val="Heading3"/>
        <w:spacing w:after="100" w:before="240"/>
      </w:pPr>
      <w:r>
        <w:rPr>
          <w:b/>
          <w:bCs/>
          <w:color w:val="1E2A38"/>
          <w:sz w:val="24"/>
          <w:szCs w:val="24"/>
        </w:rPr>
        <w:t xml:space="preserve">New paragraph to add after the Asset Class worked example</w:t>
      </w:r>
    </w:p>
    <w:p>
      <w:pPr>
        <w:spacing w:after="80" w:before="80" w:line="300"/>
      </w:pPr>
      <w:r>
        <w:rPr>
          <w:sz w:val="22"/>
          <w:szCs w:val="22"/>
        </w:rPr>
        <w:t xml:space="preserve">The Asset Class example shows one form of conformance work — classification variance, where the same instrument is named differently across systems and the conformed dimension carries the classification rule explicitly. A second form is structural variance, where one logical entity has several physical sub-types with different attribute sets. Collateral is the natural example: cash, bond, and equity collateral all serve the same logical role but carry different attributes. Conformance accommodates this through a supertype/subtype structure in the model, with the physical implementation (snowflake or denormalised) being a local engineering decision that does not affect the underlying conformance. The detailed treatment, including the supertype/subtype diagrams and the snowflake/denormalised comparison, is in the Conformance sub-page.</w:t>
      </w:r>
    </w:p>
    <w:p>
      <w:pPr>
        <w:spacing w:after="40" w:before="40"/>
      </w:pPr>
      <w:r>
        <w:rPr>
          <w:sz w:val="22"/>
          <w:szCs w:val="22"/>
        </w:rPr>
        <w:t xml:space="preserve">🛠 </w:t>
      </w:r>
      <w:r>
        <w:rPr>
          <w:i/>
          <w:iCs/>
          <w:color w:val="2E5C8A"/>
          <w:sz w:val="22"/>
          <w:szCs w:val="22"/>
        </w:rPr>
        <w:t xml:space="preserve">[Tool link to attach in Confluence: Conformance — the longer view (structural variance example)]</w:t>
      </w:r>
    </w:p>
    <w:p>
      <w:pPr>
        <w:spacing w:after="40" w:before="40"/>
      </w:pPr>
      <w:r>
        <w:rPr>
          <w:sz w:val="22"/>
          <w:szCs w:val="22"/>
        </w:rPr>
        <w:t xml:space="preserve">🛠 </w:t>
      </w:r>
      <w:r>
        <w:rPr>
          <w:i/>
          <w:iCs/>
          <w:color w:val="2E5C8A"/>
          <w:sz w:val="22"/>
          <w:szCs w:val="22"/>
        </w:rPr>
        <w:t xml:space="preserve">[Tool link to attach in Confluence: HTML reference document — Figures 4a, 4b, 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3D" w:sz="8"/>
              <w:left w:val="single" w:color="C04A3D" w:sz="24"/>
              <w:bottom w:val="single" w:color="C04A3D" w:sz="8"/>
              <w:right w:val="single" w:color="C04A3D" w:sz="8"/>
            </w:tcBorders>
            <w:shd w:fill="FFF5F5" w:val="clear"/>
            <w:tcMar>
              <w:top w:type="dxa" w:w="160"/>
              <w:left w:type="dxa" w:w="260"/>
              <w:bottom w:type="dxa" w:w="160"/>
              <w:right w:type="dxa" w:w="200"/>
            </w:tcMar>
          </w:tcPr>
          <w:p>
            <w:pPr>
              <w:spacing w:after="40" w:before="40"/>
            </w:pPr>
            <w:r>
              <w:rPr>
                <w:b/>
                <w:bCs/>
                <w:color w:val="C04A3D"/>
                <w:sz w:val="24"/>
                <w:szCs w:val="24"/>
              </w:rPr>
              <w:t xml:space="preserve">*** CHANGED ***  </w:t>
            </w:r>
            <w:r>
              <w:rPr>
                <w:color w:val="1E2A38"/>
                <w:sz w:val="22"/>
                <w:szCs w:val="22"/>
              </w:rPr>
              <w:t xml:space="preserve">Section: "Where this leads"</w:t>
            </w:r>
          </w:p>
        </w:tc>
      </w:tr>
    </w:tbl>
    <w:p>
      <w:pPr>
        <w:pStyle w:val="Heading3"/>
        <w:spacing w:after="100" w:before="240"/>
      </w:pPr>
      <w:r>
        <w:rPr>
          <w:b/>
          <w:bCs/>
          <w:color w:val="1E2A38"/>
          <w:sz w:val="24"/>
          <w:szCs w:val="24"/>
        </w:rPr>
        <w:t xml:space="preserve">New paragraph to add at the end of the section</w:t>
      </w:r>
    </w:p>
    <w:p>
      <w:pPr>
        <w:spacing w:after="80" w:before="80" w:line="300"/>
      </w:pPr>
      <w:r>
        <w:rPr>
          <w:sz w:val="22"/>
          <w:szCs w:val="22"/>
        </w:rPr>
        <w:t xml:space="preserve">The modelling progression described on this page — canonical entities, dimensional model, semantic layer, conformance — applies generally across risk reference domains, not only to collateral. The same three artefacts get built (logical model, star schema, contract) in roughly the same order, with conformance as the connective tissue. The two worked-example sub-pages take the framework through to completion in two different domains: collateral, and credit curves. The specific entities differ; the modelling moves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A3D" w:sz="8"/>
              <w:left w:val="single" w:color="C04A3D" w:sz="24"/>
              <w:bottom w:val="single" w:color="C04A3D" w:sz="8"/>
              <w:right w:val="single" w:color="C04A3D" w:sz="8"/>
            </w:tcBorders>
            <w:shd w:fill="FFF5F5" w:val="clear"/>
            <w:tcMar>
              <w:top w:type="dxa" w:w="160"/>
              <w:left w:type="dxa" w:w="260"/>
              <w:bottom w:type="dxa" w:w="160"/>
              <w:right w:type="dxa" w:w="200"/>
            </w:tcMar>
          </w:tcPr>
          <w:p>
            <w:pPr>
              <w:spacing w:after="40" w:before="40"/>
            </w:pPr>
            <w:r>
              <w:rPr>
                <w:b/>
                <w:bCs/>
                <w:color w:val="C04A3D"/>
                <w:sz w:val="24"/>
                <w:szCs w:val="24"/>
              </w:rPr>
              <w:t xml:space="preserve">*** NEW ***  </w:t>
            </w:r>
            <w:r>
              <w:rPr>
                <w:color w:val="1E2A38"/>
                <w:sz w:val="22"/>
                <w:szCs w:val="22"/>
              </w:rPr>
              <w:t xml:space="preserve">Section: "Related pages" — new entries to add under a new "Worked examples" heading</w:t>
            </w:r>
          </w:p>
        </w:tc>
      </w:tr>
    </w:tbl>
    <w:p>
      <w:pPr>
        <w:pStyle w:val="Heading3"/>
        <w:spacing w:after="100" w:before="240"/>
      </w:pPr>
      <w:r>
        <w:rPr>
          <w:b/>
          <w:bCs/>
          <w:color w:val="1E2A38"/>
          <w:sz w:val="24"/>
          <w:szCs w:val="24"/>
        </w:rPr>
        <w:t xml:space="preserve">New subsection to add to Related pages</w:t>
      </w:r>
    </w:p>
    <w:p>
      <w:pPr>
        <w:spacing w:after="80" w:before="80" w:line="300"/>
      </w:pPr>
      <w:r>
        <w:rPr>
          <w:sz w:val="22"/>
          <w:szCs w:val="22"/>
        </w:rPr>
        <w:t xml:space="preserve">Under the existing Related pages section, add a new subheading "Worked examples" with the following two entries:</w:t>
      </w:r>
    </w:p>
    <w:p>
      <w:pPr>
        <w:spacing w:after="40" w:before="40"/>
      </w:pPr>
      <w:r>
        <w:rPr>
          <w:sz w:val="22"/>
          <w:szCs w:val="22"/>
        </w:rPr>
        <w:t xml:space="preserve">🛠 </w:t>
      </w:r>
      <w:r>
        <w:rPr>
          <w:i/>
          <w:iCs/>
          <w:color w:val="2E5C8A"/>
          <w:sz w:val="22"/>
          <w:szCs w:val="22"/>
        </w:rPr>
        <w:t xml:space="preserve">[Tool link to attach in Confluence: Worked example — Collateral]</w:t>
      </w:r>
    </w:p>
    <w:p>
      <w:pPr>
        <w:spacing w:after="80" w:before="80" w:line="300"/>
      </w:pPr>
      <w:r>
        <w:rPr>
          <w:sz w:val="22"/>
          <w:szCs w:val="22"/>
        </w:rPr>
        <w:t xml:space="preserve">Full domain model and star schema for the collateral domain, including the supertype/subtype structure for collateral types, multi-fact star schema sharing conformed dimensions, and the OBT alternative with its problems clearly laid out.</w:t>
      </w:r>
    </w:p>
    <w:p>
      <w:pPr>
        <w:spacing w:after="40" w:before="40"/>
      </w:pPr>
      <w:r>
        <w:rPr>
          <w:sz w:val="22"/>
          <w:szCs w:val="22"/>
        </w:rPr>
        <w:t xml:space="preserve">🛠 </w:t>
      </w:r>
      <w:r>
        <w:rPr>
          <w:i/>
          <w:iCs/>
          <w:color w:val="2E5C8A"/>
          <w:sz w:val="22"/>
          <w:szCs w:val="22"/>
        </w:rPr>
        <w:t xml:space="preserve">[Tool link to attach in Confluence: Worked example — Credit Curves]</w:t>
      </w:r>
    </w:p>
    <w:p>
      <w:pPr>
        <w:spacing w:after="80" w:before="80" w:line="300"/>
      </w:pPr>
      <w:r>
        <w:rPr>
          <w:sz w:val="22"/>
          <w:szCs w:val="22"/>
        </w:rPr>
        <w:t xml:space="preserve">Full domain model and star schema for the credit curve domain, including point-in-time mapping handling, two-fact star schema, and the OBT alternative covering the point-in-time and stewardship problems specific to reference data domains.</w:t>
      </w:r>
    </w:p>
    <w:p>
      <w:pPr>
        <w:pStyle w:val="Heading2"/>
        <w:spacing w:after="160" w:before="320"/>
      </w:pPr>
      <w:r>
        <w:rPr>
          <w:b/>
          <w:bCs/>
          <w:color w:val="2E5C8A"/>
          <w:sz w:val="28"/>
          <w:szCs w:val="28"/>
        </w:rPr>
        <w:t xml:space="preserve">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Section</w:t>
            </w:r>
          </w:p>
        </w:tc>
        <w:tc>
          <w:tcPr>
            <w:tcW w:type="dxa" w:w="1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Type</w:t>
            </w:r>
          </w:p>
        </w:tc>
        <w:tc>
          <w:tcPr>
            <w:tcW w:type="dxa" w:w="53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changes</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Inside the JSON — a domain model waiting to be opened</w:t>
            </w:r>
          </w:p>
        </w:tc>
        <w:tc>
          <w:tcPr>
            <w:tcW w:type="dxa" w:w="1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CHANGED</w:t>
            </w:r>
          </w:p>
        </w:tc>
        <w:tc>
          <w:tcPr>
            <w:tcW w:type="dxa" w:w="5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Add a paragraph referencing the JSON tree figure in the HTML reference doc; add the corresponding image placeholder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An analytical model</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CHANGED</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Add a paragraph introducing the multi-fact conformed-dimensions concept and pointing to the Collateral worked-example sub-page</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Conformance — defined once, used everywhere</w:t>
            </w:r>
          </w:p>
        </w:tc>
        <w:tc>
          <w:tcPr>
            <w:tcW w:type="dxa" w:w="1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CHANGED</w:t>
            </w:r>
          </w:p>
        </w:tc>
        <w:tc>
          <w:tcPr>
            <w:tcW w:type="dxa" w:w="5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Add a paragraph after the Asset Class example introducing structural variance and pointing to the Conformance sub-page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Where this leads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CHANGED</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Add a paragraph noting the modelling progression generalises across reference domains</w:t>
            </w:r>
          </w:p>
        </w:tc>
      </w:tr>
      <w:tr>
        <w:tc>
          <w:tcPr>
            <w:tcW w:type="dxa" w:w="28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Related pages</w:t>
            </w:r>
          </w:p>
        </w:tc>
        <w:tc>
          <w:tcPr>
            <w:tcW w:type="dxa" w:w="1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NEW</w:t>
            </w:r>
          </w:p>
        </w:tc>
        <w:tc>
          <w:tcPr>
            <w:tcW w:type="dxa" w:w="53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Add a Worked examples subsection with links to the Collateral and Credit Curves sub-pages</w:t>
            </w:r>
          </w:p>
        </w:tc>
      </w:tr>
    </w:tbl>
    <w:p>
      <w:pPr>
        <w:spacing w:after="80" w:before="80" w:line="300"/>
      </w:pPr>
      <w:r>
        <w:rPr>
          <w:sz w:val="22"/>
          <w:szCs w:val="22"/>
        </w:rPr>
        <w:t xml:space="preserve">Five small changes total. None requires restructuring the main page; each is an additive insertion into an existing section. The Conformance sub-page covers the depth on conformance; the two worked-example sub-pages cover the depth on the specific domains; the main page stays as the narrative spine.</w:t>
      </w:r>
    </w:p>
    <w:p>
      <w:pPr>
        <w:pStyle w:val="Heading2"/>
        <w:spacing w:after="160" w:before="320"/>
      </w:pPr>
      <w:r>
        <w:rPr>
          <w:b/>
          <w:bCs/>
          <w:color w:val="2E5C8A"/>
          <w:sz w:val="28"/>
          <w:szCs w:val="28"/>
        </w:rPr>
        <w:t xml:space="preserve">Source files</w:t>
      </w:r>
    </w:p>
    <w:p>
      <w:pPr>
        <w:spacing w:after="40" w:before="40"/>
      </w:pPr>
      <w:r>
        <w:rPr>
          <w:sz w:val="22"/>
          <w:szCs w:val="22"/>
        </w:rPr>
        <w:t xml:space="preserve">🛠 </w:t>
      </w:r>
      <w:r>
        <w:rPr>
          <w:i/>
          <w:iCs/>
          <w:color w:val="2E5C8A"/>
          <w:sz w:val="22"/>
          <w:szCs w:val="22"/>
        </w:rPr>
        <w:t xml:space="preserve">[Tool link to attach in Confluence: HTML reference document — risk_three_models.html]</w:t>
      </w:r>
    </w:p>
    <w:p>
      <w:pPr>
        <w:spacing w:after="40" w:before="40"/>
      </w:pPr>
      <w:r>
        <w:rPr>
          <w:sz w:val="22"/>
          <w:szCs w:val="22"/>
        </w:rPr>
        <w:t xml:space="preserve">🛠 </w:t>
      </w:r>
      <w:r>
        <w:rPr>
          <w:i/>
          <w:iCs/>
          <w:color w:val="2E5C8A"/>
          <w:sz w:val="22"/>
          <w:szCs w:val="22"/>
        </w:rPr>
        <w:t xml:space="preserve">[Tool link to attach in Confluence: Conformance — the longer view (regenerated, can replace previous version)]</w:t>
      </w:r>
    </w:p>
    <w:p>
      <w:pPr>
        <w:spacing w:after="40" w:before="40"/>
      </w:pPr>
      <w:r>
        <w:rPr>
          <w:sz w:val="22"/>
          <w:szCs w:val="22"/>
        </w:rPr>
        <w:t xml:space="preserve">🛠 </w:t>
      </w:r>
      <w:r>
        <w:rPr>
          <w:i/>
          <w:iCs/>
          <w:color w:val="2E5C8A"/>
          <w:sz w:val="22"/>
          <w:szCs w:val="22"/>
        </w:rPr>
        <w:t xml:space="preserve">[Tool link to attach in Confluence: How the data contract gets built (updated with CSV-to-products worked example)]</w:t>
      </w:r>
    </w:p>
    <w:p>
      <w:pPr>
        <w:spacing w:after="40" w:before="40"/>
      </w:pPr>
      <w:r>
        <w:rPr>
          <w:sz w:val="22"/>
          <w:szCs w:val="22"/>
        </w:rPr>
        <w:t xml:space="preserve">🛠 </w:t>
      </w:r>
      <w:r>
        <w:rPr>
          <w:i/>
          <w:iCs/>
          <w:color w:val="2E5C8A"/>
          <w:sz w:val="22"/>
          <w:szCs w:val="22"/>
        </w:rPr>
        <w:t xml:space="preserve">[Tool link to attach in Confluence: Worked example — Collateral (new)]</w:t>
      </w:r>
    </w:p>
    <w:p>
      <w:pPr>
        <w:spacing w:after="40" w:before="40"/>
      </w:pPr>
      <w:r>
        <w:rPr>
          <w:sz w:val="22"/>
          <w:szCs w:val="22"/>
        </w:rPr>
        <w:t xml:space="preserve">🛠 </w:t>
      </w:r>
      <w:r>
        <w:rPr>
          <w:i/>
          <w:iCs/>
          <w:color w:val="2E5C8A"/>
          <w:sz w:val="22"/>
          <w:szCs w:val="22"/>
        </w:rPr>
        <w:t xml:space="preserve">[Tool link to attach in Confluence: Worked example — Credit Curves (new)]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2026-05-23T12:36:50.783Z</dcterms:created>
  <dcterms:modified xsi:type="dcterms:W3CDTF">2026-05-23T12:36:50.784Z</dcterms:modified>
</cp:coreProperties>
</file>

<file path=docProps/custom.xml><?xml version="1.0" encoding="utf-8"?>
<Properties xmlns="http://schemas.openxmlformats.org/officeDocument/2006/custom-properties" xmlns:vt="http://schemas.openxmlformats.org/officeDocument/2006/docPropsVTypes"/>
</file>