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A working strategy for starting</w:t>
      </w:r>
    </w:p>
    <w:p>
      <w:pPr>
        <w:spacing w:after="120" w:before="0"/>
      </w:pPr>
      <w:r>
        <w:rPr>
          <w:i/>
          <w:iCs/>
          <w:color w:val="5B6B7D"/>
          <w:sz w:val="24"/>
          <w:szCs w:val="24"/>
        </w:rPr>
        <w:t xml:space="preserve">Sub-page of Data Modelling for Risk — how the conformance and modelling work begins within risk, without waiting for enterprise</w:t>
      </w:r>
    </w:p>
    <w:p>
      <w:pPr>
        <w:pBdr>
          <w:bottom w:val="single" w:color="2E5C8A" w:sz="12" w:space="1"/>
        </w:pBdr>
        <w:spacing w:after="240" w:before="0"/>
      </w:pPr>
      <w:r>
        <w:t xml:space="preserve"/>
      </w:r>
    </w:p>
    <w:p>
      <w:pPr>
        <w:spacing w:after="80" w:before="80" w:line="300"/>
      </w:pPr>
      <w:r>
        <w:rPr>
          <w:sz w:val="22"/>
          <w:szCs w:val="22"/>
        </w:rPr>
        <w:t xml:space="preserve">This sub-page proposes a practical starting point for the modelling and conformance work described elsewhere in this section. The intent is to start within risk, make progress on what is locally actionable, and contribute back to enterprise canonical work as it matures. The approach is incremental and opt-in by product group rather than a centrally-mandated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The two tracks proceed in parallel. </w:t>
            </w:r>
            <w:r>
              <w:rPr>
                <w:sz w:val="22"/>
                <w:szCs w:val="22"/>
              </w:rPr>
              <w:t xml:space="preserve">Analytical work does not need to wait for conformance. Conformance work does not need to wait for analytics. As the conformance work matures in the source applications, analytics built on top become progressively more trustworthy.</w:t>
            </w:r>
          </w:p>
        </w:tc>
      </w:tr>
    </w:tbl>
    <w:p>
      <w:pPr>
        <w:pStyle w:val="Heading2"/>
        <w:spacing w:after="160" w:before="320"/>
      </w:pPr>
      <w:r>
        <w:rPr>
          <w:b/>
          <w:bCs/>
          <w:color w:val="2E5C8A"/>
          <w:sz w:val="28"/>
          <w:szCs w:val="28"/>
        </w:rPr>
        <w:t xml:space="preserve">Where the work is starting from</w:t>
      </w:r>
    </w:p>
    <w:p>
      <w:pPr>
        <w:spacing w:after="80" w:before="80" w:line="300"/>
      </w:pPr>
      <w:r>
        <w:rPr>
          <w:sz w:val="22"/>
          <w:szCs w:val="22"/>
        </w:rPr>
        <w:t xml:space="preserve">Several elements are already in place across risk. The strategy described below builds on these rather than replacing them:</w:t>
      </w:r>
    </w:p>
    <w:p>
      <w:pPr>
        <w:pStyle w:val="ListParagraph"/>
        <w:numPr>
          <w:ilvl w:val="0"/>
          <w:numId w:val="2"/>
        </w:numPr>
        <w:spacing w:after="40" w:before="40" w:line="280"/>
      </w:pPr>
      <w:r>
        <w:rPr>
          <w:b/>
          <w:bCs/>
          <w:sz w:val="22"/>
          <w:szCs w:val="22"/>
        </w:rPr>
        <w:t xml:space="preserve">The Risk Data Catalog </w:t>
      </w:r>
      <w:r>
        <w:rPr>
          <w:sz w:val="22"/>
          <w:szCs w:val="22"/>
        </w:rPr>
        <w:t xml:space="preserve">records source-to-application relationships across CCR, Market Risk, Funding, Liquidity, Valuation Services, and other product groups.</w:t>
      </w:r>
    </w:p>
    <w:p>
      <w:pPr>
        <w:pStyle w:val="ListParagraph"/>
        <w:numPr>
          <w:ilvl w:val="0"/>
          <w:numId w:val="2"/>
        </w:numPr>
        <w:spacing w:after="40" w:before="40" w:line="280"/>
      </w:pPr>
      <w:r>
        <w:rPr>
          <w:b/>
          <w:bCs/>
          <w:sz w:val="22"/>
          <w:szCs w:val="22"/>
        </w:rPr>
        <w:t xml:space="preserve">The CCR / Collateral analytics work </w:t>
      </w:r>
      <w:r>
        <w:rPr>
          <w:sz w:val="22"/>
          <w:szCs w:val="22"/>
        </w:rPr>
        <w:t xml:space="preserve">demonstrates the dimensional model approach concretely and exposes where conformance gaps surface in real cross-application analytics.</w:t>
      </w:r>
    </w:p>
    <w:p>
      <w:pPr>
        <w:pStyle w:val="ListParagraph"/>
        <w:numPr>
          <w:ilvl w:val="0"/>
          <w:numId w:val="2"/>
        </w:numPr>
        <w:spacing w:after="40" w:before="40" w:line="280"/>
      </w:pPr>
      <w:r>
        <w:rPr>
          <w:b/>
          <w:bCs/>
          <w:sz w:val="22"/>
          <w:szCs w:val="22"/>
        </w:rPr>
        <w:t xml:space="preserve">The Databricks platform </w:t>
      </w:r>
      <w:r>
        <w:rPr>
          <w:sz w:val="22"/>
          <w:szCs w:val="22"/>
        </w:rPr>
        <w:t xml:space="preserve">is the consolidation point for risk data, with Unity Catalog providing the governance substrate for the work above.</w:t>
      </w:r>
    </w:p>
    <w:p>
      <w:pPr>
        <w:pStyle w:val="ListParagraph"/>
        <w:numPr>
          <w:ilvl w:val="0"/>
          <w:numId w:val="2"/>
        </w:numPr>
        <w:spacing w:after="40" w:before="40" w:line="280"/>
      </w:pPr>
      <w:r>
        <w:rPr>
          <w:b/>
          <w:bCs/>
          <w:sz w:val="22"/>
          <w:szCs w:val="22"/>
        </w:rPr>
        <w:t xml:space="preserve">The enterprise canonical data model effort </w:t>
      </w:r>
      <w:r>
        <w:rPr>
          <w:sz w:val="22"/>
          <w:szCs w:val="22"/>
        </w:rPr>
        <w:t xml:space="preserve">is addressing entities that span domains — Trade, Security, Party, Account. Risk contributes to this effort but does not wait for it to begin its own work.</w:t>
      </w:r>
    </w:p>
    <w:p>
      <w:pPr>
        <w:spacing w:after="80" w:before="80" w:line="300"/>
      </w:pPr>
      <w:r>
        <w:rPr>
          <w:sz w:val="22"/>
          <w:szCs w:val="22"/>
        </w:rPr>
        <w:t xml:space="preserve">The proposal is to extend what is in place by adding the attribute-level conformance work, the dimensional models for analytics, and the data contracts, in a sequence that respects how risk is organised.</w:t>
      </w:r>
    </w:p>
    <w:p>
      <w:pPr>
        <w:pStyle w:val="Heading2"/>
        <w:spacing w:after="160" w:before="320"/>
      </w:pPr>
      <w:r>
        <w:rPr>
          <w:b/>
          <w:bCs/>
          <w:color w:val="2E5C8A"/>
          <w:sz w:val="28"/>
          <w:szCs w:val="28"/>
        </w:rPr>
        <w:t xml:space="preserve">The working strategy — two waves within risk</w:t>
      </w:r>
    </w:p>
    <w:p>
      <w:pPr>
        <w:pStyle w:val="Heading3"/>
        <w:spacing w:after="100" w:before="240"/>
      </w:pPr>
      <w:r>
        <w:rPr>
          <w:b/>
          <w:bCs/>
          <w:color w:val="1E2A38"/>
          <w:sz w:val="24"/>
          <w:szCs w:val="24"/>
        </w:rPr>
        <w:t xml:space="preserve">Why bottom-up, scoped to risk</w:t>
      </w:r>
    </w:p>
    <w:p>
      <w:pPr>
        <w:spacing w:after="80" w:before="80" w:line="300"/>
      </w:pPr>
      <w:r>
        <w:rPr>
          <w:sz w:val="22"/>
          <w:szCs w:val="22"/>
        </w:rPr>
        <w:t xml:space="preserve">Risk has several product groups, each containing multiple applications. Within each group, the applications share domain language, data sources, and business consumers. Conversations about what a shared entity means are most tractable inside a single group. The proposal is to start there, then expand outward.</w:t>
      </w:r>
    </w:p>
    <w:p>
      <w:pPr>
        <w:spacing w:after="80" w:before="80" w:line="300"/>
      </w:pPr>
      <w:r>
        <w:rPr>
          <w:sz w:val="22"/>
          <w:szCs w:val="22"/>
        </w:rPr>
        <w:t xml:space="preserve">Enterprise canonical work for cross-domain entities runs in parallel. Risk contributes to that effort but does not pause its own progress while it matures.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Two-wave conformance approach for risk ]</w:t>
            </w:r>
          </w:p>
          <w:p>
            <w:pPr>
              <w:spacing w:after="40" w:before="40"/>
            </w:pPr>
            <w:r>
              <w:rPr>
                <w:i/>
                <w:iCs/>
                <w:color w:val="5B6B7D"/>
                <w:sz w:val="20"/>
                <w:szCs w:val="20"/>
              </w:rPr>
              <w:t xml:space="preserve">Source: HTML companion doc — Figure 1</w:t>
            </w:r>
          </w:p>
          <w:p>
            <w:pPr>
              <w:spacing w:after="40" w:before="40"/>
            </w:pPr>
            <w:r>
              <w:rPr>
                <w:color w:val="5B6B7D"/>
                <w:sz w:val="20"/>
                <w:szCs w:val="20"/>
              </w:rPr>
              <w:t xml:space="preserve">Top band: enterprise canonical models as a parallel track for cross-domain entities (Trade, Security, Party, Account). Middle band: risk product groups (Credit Risk, Counterparty Risk, Market Risk, Valuation Services, Liquidity / Funding / Finance) each running Wave 1 internally — apps comparing within the group. Bottom band: Wave 2 — across product groups, with dashed lines showing how each group feeds into the cross-group view.</w:t>
            </w:r>
          </w:p>
        </w:tc>
      </w:tr>
    </w:tbl>
    <w:p>
      <w:pPr>
        <w:pStyle w:val="Heading3"/>
        <w:spacing w:after="100" w:before="240"/>
      </w:pPr>
      <w:r>
        <w:rPr>
          <w:b/>
          <w:bCs/>
          <w:color w:val="1E2A38"/>
          <w:sz w:val="24"/>
          <w:szCs w:val="24"/>
        </w:rPr>
        <w:t xml:space="preserve">Wave 1 — within each product group</w:t>
      </w:r>
    </w:p>
    <w:p>
      <w:pPr>
        <w:spacing w:after="80" w:before="80" w:line="300"/>
      </w:pPr>
      <w:r>
        <w:rPr>
          <w:sz w:val="22"/>
          <w:szCs w:val="22"/>
        </w:rPr>
        <w:t xml:space="preserve">Each product group runs its own conformance conversation first. Within a group, applications share more vocabulary, data sources, and business consumers with each other than they do with applications in other groups. Conversations converge faster among teams with shared context.</w:t>
      </w:r>
    </w:p>
    <w:p>
      <w:pPr>
        <w:spacing w:after="80" w:before="80" w:line="300"/>
      </w:pPr>
      <w:r>
        <w:rPr>
          <w:sz w:val="22"/>
          <w:szCs w:val="22"/>
        </w:rPr>
        <w:t xml:space="preserve">In Wave 1, each group:</w:t>
      </w:r>
    </w:p>
    <w:p>
      <w:pPr>
        <w:pStyle w:val="ListParagraph"/>
        <w:numPr>
          <w:ilvl w:val="0"/>
          <w:numId w:val="2"/>
        </w:numPr>
        <w:spacing w:after="40" w:before="40" w:line="280"/>
      </w:pPr>
      <w:r>
        <w:rPr>
          <w:sz w:val="22"/>
          <w:szCs w:val="22"/>
        </w:rPr>
        <w:t xml:space="preserve">Has its applications classify the entities their outputs touch.</w:t>
      </w:r>
    </w:p>
    <w:p>
      <w:pPr>
        <w:pStyle w:val="ListParagraph"/>
        <w:numPr>
          <w:ilvl w:val="0"/>
          <w:numId w:val="2"/>
        </w:numPr>
        <w:spacing w:after="40" w:before="40" w:line="280"/>
      </w:pPr>
      <w:r>
        <w:rPr>
          <w:sz w:val="22"/>
          <w:szCs w:val="22"/>
        </w:rPr>
        <w:t xml:space="preserve">Has each application declare its sourcing contract at the source-application level, extending what is already in the Risk Data Catalog with the attribute-level mapping described in the conformance sub-page.</w:t>
      </w:r>
    </w:p>
    <w:p>
      <w:pPr>
        <w:pStyle w:val="ListParagraph"/>
        <w:numPr>
          <w:ilvl w:val="0"/>
          <w:numId w:val="2"/>
        </w:numPr>
        <w:spacing w:after="40" w:before="40" w:line="280"/>
      </w:pPr>
      <w:r>
        <w:rPr>
          <w:sz w:val="22"/>
          <w:szCs w:val="22"/>
        </w:rPr>
        <w:t xml:space="preserve">Holds a cross-application comparison within the group, identifying where the same entity is constructed differently across applications.</w:t>
      </w:r>
    </w:p>
    <w:p>
      <w:pPr>
        <w:pStyle w:val="ListParagraph"/>
        <w:numPr>
          <w:ilvl w:val="0"/>
          <w:numId w:val="2"/>
        </w:numPr>
        <w:spacing w:after="40" w:before="40" w:line="280"/>
      </w:pPr>
      <w:r>
        <w:rPr>
          <w:sz w:val="22"/>
          <w:szCs w:val="22"/>
        </w:rPr>
        <w:t xml:space="preserve">Decides the conformed version for entities the group owns. Defers entities that span groups or require enterprise input.</w:t>
      </w:r>
    </w:p>
    <w:p>
      <w:pPr>
        <w:pStyle w:val="Heading3"/>
        <w:spacing w:after="100" w:before="240"/>
      </w:pPr>
      <w:r>
        <w:rPr>
          <w:b/>
          <w:bCs/>
          <w:color w:val="1E2A38"/>
          <w:sz w:val="24"/>
          <w:szCs w:val="24"/>
        </w:rPr>
        <w:t xml:space="preserve">Wave 2 — across product groups</w:t>
      </w:r>
    </w:p>
    <w:p>
      <w:pPr>
        <w:spacing w:after="80" w:before="80" w:line="300"/>
      </w:pPr>
      <w:r>
        <w:rPr>
          <w:sz w:val="22"/>
          <w:szCs w:val="22"/>
        </w:rPr>
        <w:t xml:space="preserve">Once each group has its own conformance picture, the risk-wide comparison happens. Entities that live mainly in one group can be settled within it. Entities that span groups — Counterparty being the most obvious example, since it appears in every product group — are conformed at risk level. Findings from this wave feed back to the enterprise canonical effort for entities that genuinely span beyond risk.</w:t>
      </w:r>
    </w:p>
    <w:p>
      <w:pPr>
        <w:pStyle w:val="Heading3"/>
        <w:spacing w:after="100" w:before="240"/>
      </w:pPr>
      <w:r>
        <w:rPr>
          <w:b/>
          <w:bCs/>
          <w:color w:val="1E2A38"/>
          <w:sz w:val="24"/>
          <w:szCs w:val="24"/>
        </w:rPr>
        <w:t xml:space="preserve">Why this order</w:t>
      </w:r>
    </w:p>
    <w:p>
      <w:pPr>
        <w:pStyle w:val="ListParagraph"/>
        <w:numPr>
          <w:ilvl w:val="0"/>
          <w:numId w:val="2"/>
        </w:numPr>
        <w:spacing w:after="40" w:before="40" w:line="280"/>
      </w:pPr>
      <w:r>
        <w:rPr>
          <w:b/>
          <w:bCs/>
          <w:sz w:val="22"/>
          <w:szCs w:val="22"/>
        </w:rPr>
        <w:t xml:space="preserve">Within a group, the conversation is easier. </w:t>
      </w:r>
      <w:r>
        <w:rPr>
          <w:sz w:val="22"/>
          <w:szCs w:val="22"/>
        </w:rPr>
        <w:t xml:space="preserve">Apps in Credit Risk share more context with each other than with apps in Liquidity. Conformance discussions converge faster among teams with shared business language.</w:t>
      </w:r>
    </w:p>
    <w:p>
      <w:pPr>
        <w:pStyle w:val="ListParagraph"/>
        <w:numPr>
          <w:ilvl w:val="0"/>
          <w:numId w:val="2"/>
        </w:numPr>
        <w:spacing w:after="40" w:before="40" w:line="280"/>
      </w:pPr>
      <w:r>
        <w:rPr>
          <w:b/>
          <w:bCs/>
          <w:sz w:val="22"/>
          <w:szCs w:val="22"/>
        </w:rPr>
        <w:t xml:space="preserve">Each group can move at its own pace. </w:t>
      </w:r>
      <w:r>
        <w:rPr>
          <w:sz w:val="22"/>
          <w:szCs w:val="22"/>
        </w:rPr>
        <w:t xml:space="preserve">No group needs to wait for another. CCR / Counterparty Risk is the natural early mover because the analytics work is already running there.</w:t>
      </w:r>
    </w:p>
    <w:p>
      <w:pPr>
        <w:pStyle w:val="ListParagraph"/>
        <w:numPr>
          <w:ilvl w:val="0"/>
          <w:numId w:val="2"/>
        </w:numPr>
        <w:spacing w:after="40" w:before="40" w:line="280"/>
      </w:pPr>
      <w:r>
        <w:rPr>
          <w:b/>
          <w:bCs/>
          <w:sz w:val="22"/>
          <w:szCs w:val="22"/>
        </w:rPr>
        <w:t xml:space="preserve">Cross-group work has a foundation to land on. </w:t>
      </w:r>
      <w:r>
        <w:rPr>
          <w:sz w:val="22"/>
          <w:szCs w:val="22"/>
        </w:rPr>
        <w:t xml:space="preserve">When the risk-wide comparison happens in Wave 2, each group brings a coherent picture rather than ad-hoc per-application submissions.</w:t>
      </w:r>
    </w:p>
    <w:p>
      <w:pPr>
        <w:pStyle w:val="Heading2"/>
        <w:spacing w:after="160" w:before="320"/>
      </w:pPr>
      <w:r>
        <w:rPr>
          <w:b/>
          <w:bCs/>
          <w:color w:val="2E5C8A"/>
          <w:sz w:val="28"/>
          <w:szCs w:val="28"/>
        </w:rPr>
        <w:t xml:space="preserve">Suggested first movers</w:t>
      </w:r>
    </w:p>
    <w:p>
      <w:pPr>
        <w:spacing w:after="80" w:before="80" w:line="300"/>
      </w:pPr>
      <w:r>
        <w:rPr>
          <w:sz w:val="22"/>
          <w:szCs w:val="22"/>
        </w:rPr>
        <w:t xml:space="preserve">The product groups most ready to begin are the ones where the analytical conversation is already happening. Counterparty Risk and Credit Risk are the natural early movers — the CCR / Collateral work is running, business consumers are engaged, and conformance gaps in the underlying data are already visible through the analytical outputs.</w:t>
      </w:r>
    </w:p>
    <w:p>
      <w:pPr>
        <w:spacing w:after="80" w:before="80" w:line="300"/>
      </w:pPr>
      <w:r>
        <w:rPr>
          <w:sz w:val="22"/>
          <w:szCs w:val="22"/>
        </w:rPr>
        <w:t xml:space="preserve">Starting Wave 1 in these groups builds momentum and produces a concrete reference for other groups to look at. Other groups can begin when they are ready. The proposal is not a forced sequence — just a suggestion that early movers go where the conversation is most concrete.</w:t>
      </w:r>
    </w:p>
    <w:p>
      <w:pPr>
        <w:pStyle w:val="Heading2"/>
        <w:spacing w:after="160" w:before="320"/>
      </w:pPr>
      <w:r>
        <w:rPr>
          <w:b/>
          <w:bCs/>
          <w:color w:val="2E5C8A"/>
          <w:sz w:val="28"/>
          <w:szCs w:val="28"/>
        </w:rPr>
        <w:t xml:space="preserve">What success looks like in six months</w:t>
      </w:r>
    </w:p>
    <w:p>
      <w:pPr>
        <w:pStyle w:val="ListParagraph"/>
        <w:numPr>
          <w:ilvl w:val="0"/>
          <w:numId w:val="2"/>
        </w:numPr>
        <w:spacing w:after="40" w:before="40" w:line="280"/>
      </w:pPr>
      <w:r>
        <w:rPr>
          <w:sz w:val="22"/>
          <w:szCs w:val="22"/>
        </w:rPr>
        <w:t xml:space="preserve">Each participating product group has completed the four Wave 1 steps for the entities most relevant to its applications.</w:t>
      </w:r>
    </w:p>
    <w:p>
      <w:pPr>
        <w:pStyle w:val="ListParagraph"/>
        <w:numPr>
          <w:ilvl w:val="0"/>
          <w:numId w:val="2"/>
        </w:numPr>
        <w:spacing w:after="40" w:before="40" w:line="280"/>
      </w:pPr>
      <w:r>
        <w:rPr>
          <w:sz w:val="22"/>
          <w:szCs w:val="22"/>
        </w:rPr>
        <w:t xml:space="preserve">The Risk Data Catalog has been extended with attribute-level mappings for published outputs in each participating application, starting with the columns that appear in reports and distributed extracts.</w:t>
      </w:r>
    </w:p>
    <w:p>
      <w:pPr>
        <w:pStyle w:val="ListParagraph"/>
        <w:numPr>
          <w:ilvl w:val="0"/>
          <w:numId w:val="2"/>
        </w:numPr>
        <w:spacing w:after="40" w:before="40" w:line="280"/>
      </w:pPr>
      <w:r>
        <w:rPr>
          <w:sz w:val="22"/>
          <w:szCs w:val="22"/>
        </w:rPr>
        <w:t xml:space="preserve">A risk-wide register of conformed entities has its first entries — a small number of entities with conformed definitions, plus a clear list of deferrals to either cross-group or enterprise.</w:t>
      </w:r>
    </w:p>
    <w:p>
      <w:pPr>
        <w:pStyle w:val="ListParagraph"/>
        <w:numPr>
          <w:ilvl w:val="0"/>
          <w:numId w:val="2"/>
        </w:numPr>
        <w:spacing w:after="40" w:before="40" w:line="280"/>
      </w:pPr>
      <w:r>
        <w:rPr>
          <w:sz w:val="22"/>
          <w:szCs w:val="22"/>
        </w:rPr>
        <w:t xml:space="preserve">The CCR / Collateral analytical work has progressively more conformed data underneath it, and the gap between "analytics demonstrates capability" and "analytics is trusted for cross-application use" is visibly narrowing.</w:t>
      </w:r>
    </w:p>
    <w:p>
      <w:pPr>
        <w:pStyle w:val="ListParagraph"/>
        <w:numPr>
          <w:ilvl w:val="0"/>
          <w:numId w:val="2"/>
        </w:numPr>
        <w:spacing w:after="40" w:before="40" w:line="280"/>
      </w:pPr>
      <w:r>
        <w:rPr>
          <w:sz w:val="22"/>
          <w:szCs w:val="22"/>
        </w:rPr>
        <w:t xml:space="preserve">The conversation with enterprise on cross-domain entities — Trade, Security, Party, Account — is being informed by what risk has discovered in its own work.</w:t>
      </w:r>
    </w:p>
    <w:p>
      <w:pPr>
        <w:spacing w:after="80" w:before="80" w:line="300"/>
      </w:pPr>
      <w:r>
        <w:rPr>
          <w:sz w:val="22"/>
          <w:szCs w:val="22"/>
        </w:rPr>
        <w:t xml:space="preserve">This is intentionally modest. Conformance and modelling work compound over time; the first six months establish the pattern, not the finished outcome.</w:t>
      </w:r>
    </w:p>
    <w:p>
      <w:pPr>
        <w:pStyle w:val="Heading2"/>
        <w:spacing w:after="160" w:before="320"/>
      </w:pPr>
      <w:r>
        <w:rPr>
          <w:b/>
          <w:bCs/>
          <w:color w:val="2E5C8A"/>
          <w:sz w:val="28"/>
          <w:szCs w:val="28"/>
        </w:rPr>
        <w:t xml:space="preserve">Where the work meets the analytical track</w:t>
      </w:r>
    </w:p>
    <w:p>
      <w:pPr>
        <w:spacing w:after="80" w:before="80" w:line="300"/>
      </w:pPr>
      <w:r>
        <w:rPr>
          <w:sz w:val="22"/>
          <w:szCs w:val="22"/>
        </w:rPr>
        <w:t xml:space="preserve">The analytical work — dimensional models, semantic layer in Metric Views, dashboards — continues in parallel. As conformance work in the source applications matures, the analytics built on top become progressively more reliable for cross-application use. The two tracks are independent but mutually reinforcing: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Analytical track</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Conformance track</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Builds dimensional models from current data</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Improves the quality of inputs the dimensional models read from</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Surfaces concrete conformance gaps through cross-application analytics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Resolves the gaps surfaced by the analytical work</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Demonstrates value to business consumers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Increases the breadth of analytics that can be trusted</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Provides a vehicle for the broader conversation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Provides the foundation that makes the broader vision real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One closing point. </w:t>
            </w:r>
            <w:r>
              <w:rPr>
                <w:sz w:val="22"/>
                <w:szCs w:val="22"/>
              </w:rPr>
              <w:t xml:space="preserve">Conformance is a discipline, not a project. It is the work of declaring, explicitly, what each piece of data means and where it came from. Once started, it accumulates. The first entities conformed make the next ones easier. The cost is mostly upfront; the value compounds.</w:t>
            </w:r>
          </w:p>
        </w:tc>
      </w:tr>
    </w:tbl>
    <w:p>
      <w:pPr>
        <w:pStyle w:val="Heading2"/>
        <w:spacing w:after="160" w:before="320"/>
      </w:pPr>
      <w:r>
        <w:rPr>
          <w:b/>
          <w:bCs/>
          <w:color w:val="2E5C8A"/>
          <w:sz w:val="28"/>
          <w:szCs w:val="28"/>
        </w:rPr>
        <w:t xml:space="preserve">Related pages</w:t>
      </w:r>
    </w:p>
    <w:p>
      <w:pPr>
        <w:spacing w:after="40" w:before="40"/>
      </w:pPr>
      <w:r>
        <w:rPr>
          <w:sz w:val="22"/>
          <w:szCs w:val="22"/>
        </w:rPr>
        <w:t xml:space="preserve">🛠 </w:t>
      </w:r>
      <w:r>
        <w:rPr>
          <w:i/>
          <w:iCs/>
          <w:color w:val="2E5C8A"/>
          <w:sz w:val="22"/>
          <w:szCs w:val="22"/>
        </w:rPr>
        <w:t xml:space="preserve">[Tool link to attach in Confluence: Data Modelling for Risk (parent page)]</w:t>
      </w:r>
    </w:p>
    <w:p>
      <w:pPr>
        <w:spacing w:after="40" w:before="40"/>
      </w:pPr>
      <w:r>
        <w:rPr>
          <w:sz w:val="22"/>
          <w:szCs w:val="22"/>
        </w:rPr>
        <w:t xml:space="preserve">🛠 </w:t>
      </w:r>
      <w:r>
        <w:rPr>
          <w:i/>
          <w:iCs/>
          <w:color w:val="2E5C8A"/>
          <w:sz w:val="22"/>
          <w:szCs w:val="22"/>
        </w:rPr>
        <w:t xml:space="preserve">[Tool link to attach in Confluence: Conformance — the longer view]</w:t>
      </w:r>
    </w:p>
    <w:p>
      <w:pPr>
        <w:spacing w:after="40" w:before="40"/>
      </w:pPr>
      <w:r>
        <w:rPr>
          <w:sz w:val="22"/>
          <w:szCs w:val="22"/>
        </w:rPr>
        <w:t xml:space="preserve">🛠 </w:t>
      </w:r>
      <w:r>
        <w:rPr>
          <w:i/>
          <w:iCs/>
          <w:color w:val="2E5C8A"/>
          <w:sz w:val="22"/>
          <w:szCs w:val="22"/>
        </w:rPr>
        <w:t xml:space="preserve">[Tool link to attach in Confluence: From query-based to model-based consumption]</w:t>
      </w:r>
    </w:p>
    <w:p>
      <w:pPr>
        <w:spacing w:after="40" w:before="40"/>
      </w:pPr>
      <w:r>
        <w:rPr>
          <w:sz w:val="22"/>
          <w:szCs w:val="22"/>
        </w:rPr>
        <w:t xml:space="preserve">🛠 </w:t>
      </w:r>
      <w:r>
        <w:rPr>
          <w:i/>
          <w:iCs/>
          <w:color w:val="2E5C8A"/>
          <w:sz w:val="22"/>
          <w:szCs w:val="22"/>
        </w:rPr>
        <w:t xml:space="preserve">[Tool link to attach in Confluence: How the data contract gets built]</w:t>
      </w:r>
    </w:p>
    <w:p>
      <w:pPr>
        <w:spacing w:after="40" w:before="40"/>
      </w:pPr>
      <w:r>
        <w:rPr>
          <w:sz w:val="22"/>
          <w:szCs w:val="22"/>
        </w:rPr>
        <w:t xml:space="preserve">🛠 </w:t>
      </w:r>
      <w:r>
        <w:rPr>
          <w:i/>
          <w:iCs/>
          <w:color w:val="2E5C8A"/>
          <w:sz w:val="22"/>
          <w:szCs w:val="22"/>
        </w:rPr>
        <w:t xml:space="preserve">[Tool link to attach in Confluence: Risk Data Catalog]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2026-05-21T12:26:58.331Z</dcterms:created>
  <dcterms:modified xsi:type="dcterms:W3CDTF">2026-05-21T12:26:58.331Z</dcterms:modified>
</cp:coreProperties>
</file>

<file path=docProps/custom.xml><?xml version="1.0" encoding="utf-8"?>
<Properties xmlns="http://schemas.openxmlformats.org/officeDocument/2006/custom-properties" xmlns:vt="http://schemas.openxmlformats.org/officeDocument/2006/docPropsVTypes"/>
</file>