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b/>
          <w:bCs/>
          <w:color w:val="2E5C8A"/>
          <w:sz w:val="44"/>
          <w:szCs w:val="44"/>
        </w:rPr>
        <w:t xml:space="preserve">How the data contract gets built</w:t>
      </w:r>
    </w:p>
    <w:p>
      <w:pPr>
        <w:spacing w:after="120" w:before="0"/>
      </w:pPr>
      <w:r>
        <w:rPr>
          <w:i/>
          <w:iCs/>
          <w:color w:val="5B6B7D"/>
          <w:sz w:val="24"/>
          <w:szCs w:val="24"/>
        </w:rPr>
        <w:t xml:space="preserve">Sub-page of Data Modelling for Risk — composing the contract from artefacts already in place, not authoring it from scratch</w:t>
      </w:r>
    </w:p>
    <w:p>
      <w:pPr>
        <w:pBdr>
          <w:bottom w:val="single" w:color="2E5C8A" w:sz="12" w:space="1"/>
        </w:pBdr>
        <w:spacing w:after="240" w:before="0"/>
      </w:pPr>
      <w:r>
        <w:t xml:space="preserve"/>
      </w:r>
    </w:p>
    <w:p>
      <w:pPr>
        <w:spacing w:after="80" w:before="80" w:line="300"/>
      </w:pPr>
      <w:r>
        <w:rPr>
          <w:sz w:val="22"/>
          <w:szCs w:val="22"/>
        </w:rPr>
        <w:t xml:space="preserve">A data contract is the explicit declaration of what a data product is, where it comes from, how it behaves, and who is responsible for it. The contract sits between producers and consumers — it tells the consumer what they can rely on, and it tells the producer what they have committed to.</w:t>
      </w:r>
    </w:p>
    <w:p>
      <w:pPr>
        <w:spacing w:after="80" w:before="80" w:line="300"/>
      </w:pPr>
      <w:r>
        <w:rPr>
          <w:sz w:val="22"/>
          <w:szCs w:val="22"/>
        </w:rPr>
        <w:t xml:space="preserve">On first reading, this can sound like a heavy authoring exercise — yet another document each application has to maintain. In practice, the contract is mostly composed from artefacts that already exist or are being built for other reasons. This page describes which parts of the contract come from where, what is automated, and what is authored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The principle: </w:t>
            </w:r>
            <w:r>
              <w:rPr>
                <w:sz w:val="22"/>
                <w:szCs w:val="22"/>
              </w:rPr>
              <w:t xml:space="preserve">the data contract is an honest reflection of what is already known elsewhere. Most blocks are derived from upstream sources. A few are authored directly. The contract is the assembly point — not the place where the content is first invented.</w:t>
            </w:r>
          </w:p>
        </w:tc>
      </w:tr>
    </w:tbl>
    <w:p>
      <w:pPr>
        <w:pStyle w:val="Heading2"/>
        <w:spacing w:after="160" w:before="320"/>
      </w:pPr>
      <w:r>
        <w:rPr>
          <w:b/>
          <w:bCs/>
          <w:color w:val="2E5C8A"/>
          <w:sz w:val="28"/>
          <w:szCs w:val="28"/>
        </w:rPr>
        <w:t xml:space="preserve">What is in a data contract</w:t>
      </w:r>
    </w:p>
    <w:p>
      <w:pPr>
        <w:spacing w:after="80" w:before="80" w:line="300"/>
      </w:pPr>
      <w:r>
        <w:rPr>
          <w:sz w:val="22"/>
          <w:szCs w:val="22"/>
        </w:rPr>
        <w:t xml:space="preserve">A data contract for a risk data product typically contains the following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Block</w:t>
            </w:r>
          </w:p>
        </w:tc>
        <w:tc>
          <w:tcPr>
            <w:tcW w:type="dxa" w:w="63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it declares</w:t>
            </w:r>
          </w:p>
        </w:tc>
      </w:tr>
      <w:tr>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Business description</w:t>
            </w:r>
          </w:p>
        </w:tc>
        <w:tc>
          <w:tcPr>
            <w:tcW w:type="dxa" w:w="63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What this data product is, in business language. Why it exists, who consumes it.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Grain</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The level at which one row corresponds to one fact. Counterparty × date, agreement × date, trade-level, etc.</w:t>
            </w:r>
          </w:p>
        </w:tc>
      </w:tr>
      <w:tr>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Dimensions</w:t>
            </w:r>
          </w:p>
        </w:tc>
        <w:tc>
          <w:tcPr>
            <w:tcW w:type="dxa" w:w="63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Descriptive attributes the data can be sliced by — counterparty, agreement, asset class, currency, date.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Measures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Numeric values produced — exposure amounts, breach amounts, coverage ratios. Each with its aggregation rule.</w:t>
            </w:r>
          </w:p>
        </w:tc>
      </w:tr>
      <w:tr>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Naming</w:t>
            </w:r>
          </w:p>
        </w:tc>
        <w:tc>
          <w:tcPr>
            <w:tcW w:type="dxa" w:w="63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Standard names for tables, columns, and metric objects, conforming to the risk naming convention.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Classification and ownership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Sensitivity classification, the application that produces the data, the Data Product Owner.</w:t>
            </w:r>
          </w:p>
        </w:tc>
      </w:tr>
      <w:tr>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Upstream lineage</w:t>
            </w:r>
          </w:p>
        </w:tc>
        <w:tc>
          <w:tcPr>
            <w:tcW w:type="dxa" w:w="63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Which sources the data is derived from, observed in Unity Catalog.</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Quality constraints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Primary keys, foreign keys, value ranges, referential integrity rules.</w:t>
            </w:r>
          </w:p>
        </w:tc>
      </w:tr>
      <w:tr>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Use-case context</w:t>
            </w:r>
          </w:p>
        </w:tc>
        <w:tc>
          <w:tcPr>
            <w:tcW w:type="dxa" w:w="63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What questions consumers ask of this product. Captured at intake.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Change history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Versions and changes over time, with approval records.</w:t>
            </w:r>
          </w:p>
        </w:tc>
      </w:tr>
    </w:tbl>
    <w:p>
      <w:pPr>
        <w:spacing w:after="80" w:before="80" w:line="300"/>
      </w:pPr>
      <w:r>
        <w:rPr>
          <w:sz w:val="22"/>
          <w:szCs w:val="22"/>
        </w:rPr>
        <w:t xml:space="preserve">Ten blocks. Authoring all of them from scratch for every application would be a major undertaking. The point of this page is that almost none of it is authored from scratch.</w:t>
      </w:r>
    </w:p>
    <w:p>
      <w:pPr>
        <w:pStyle w:val="Heading2"/>
        <w:spacing w:after="160" w:before="320"/>
      </w:pPr>
      <w:r>
        <w:rPr>
          <w:b/>
          <w:bCs/>
          <w:color w:val="2E5C8A"/>
          <w:sz w:val="28"/>
          <w:szCs w:val="28"/>
        </w:rPr>
        <w:t xml:space="preserve">Where each block comes from</w:t>
      </w:r>
    </w:p>
    <w:p>
      <w:pPr>
        <w:spacing w:after="80" w:before="80" w:line="300"/>
      </w:pPr>
      <w:r>
        <w:rPr>
          <w:sz w:val="22"/>
          <w:szCs w:val="22"/>
        </w:rPr>
        <w:t xml:space="preserve">Most blocks of the contract are derived — that is, the content already exists somewhere else and gets pulled into the contract automatically or by reference. A few are authored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How the contract is composed from upstream artefacts ]</w:t>
            </w:r>
          </w:p>
          <w:p>
            <w:pPr>
              <w:spacing w:after="40" w:before="40"/>
            </w:pPr>
            <w:r>
              <w:rPr>
                <w:i/>
                <w:iCs/>
                <w:color w:val="5B6B7D"/>
                <w:sz w:val="20"/>
                <w:szCs w:val="20"/>
              </w:rPr>
              <w:t xml:space="preserve">Source: Deck slide 10</w:t>
            </w:r>
          </w:p>
          <w:p>
            <w:pPr>
              <w:spacing w:after="40" w:before="40"/>
            </w:pPr>
            <w:r>
              <w:rPr>
                <w:color w:val="5B6B7D"/>
                <w:sz w:val="20"/>
                <w:szCs w:val="20"/>
              </w:rPr>
              <w:t xml:space="preserve">Centre: the data contract. Around it: arrows showing where each block originates — semantic layer (Metric View) provides grain/dimensions/measures; naming convention provides naming; CI tags provide classification and ownership; Unity Catalog provides observed lineage; PowerDesigner provides quality constraints; Jira and Git provide change history. Two blocks authored directly: business description, use-case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60"/>
      </w:tblGrid>
      <w:tr>
        <w:tc>
          <w:tcPr>
            <w:tcW w:type="dxa" w:w="26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Block</w:t>
            </w:r>
          </w:p>
        </w:tc>
        <w:tc>
          <w:tcPr>
            <w:tcW w:type="dxa" w:w="45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Where it comes from</w:t>
            </w:r>
          </w:p>
        </w:tc>
        <w:tc>
          <w:tcPr>
            <w:tcW w:type="dxa" w:w="22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Mode</w:t>
            </w:r>
          </w:p>
        </w:tc>
      </w:tr>
      <w:tr>
        <w:tc>
          <w:tcPr>
            <w:tcW w:type="dxa" w:w="26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Grain, dimensions, measures</w:t>
            </w:r>
          </w:p>
        </w:tc>
        <w:tc>
          <w:tcPr>
            <w:tcW w:type="dxa" w:w="45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The Metric View definition</w:t>
            </w:r>
          </w:p>
        </w:tc>
        <w:tc>
          <w:tcPr>
            <w:tcW w:type="dxa" w:w="22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Derived</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Naming</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The risk naming convention</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Derived (validated)</w:t>
            </w:r>
          </w:p>
        </w:tc>
      </w:tr>
      <w:tr>
        <w:tc>
          <w:tcPr>
            <w:tcW w:type="dxa" w:w="26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Classification and ownership</w:t>
            </w:r>
          </w:p>
        </w:tc>
        <w:tc>
          <w:tcPr>
            <w:tcW w:type="dxa" w:w="45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Application-layer tags applied at the CI layer</w:t>
            </w:r>
          </w:p>
        </w:tc>
        <w:tc>
          <w:tcPr>
            <w:tcW w:type="dxa" w:w="22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Derived (inherited)</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Upstream lineage</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Unity Catalog observed lineage</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Derived (automatic)</w:t>
            </w:r>
          </w:p>
        </w:tc>
      </w:tr>
      <w:tr>
        <w:tc>
          <w:tcPr>
            <w:tcW w:type="dxa" w:w="26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Quality constraints</w:t>
            </w:r>
          </w:p>
        </w:tc>
        <w:tc>
          <w:tcPr>
            <w:tcW w:type="dxa" w:w="45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PowerDesigner / Erwin model</w:t>
            </w:r>
          </w:p>
        </w:tc>
        <w:tc>
          <w:tcPr>
            <w:tcW w:type="dxa" w:w="22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Derived</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Change history</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Jira tickets and Git commits, linked to the model</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Derived</w:t>
            </w:r>
          </w:p>
        </w:tc>
      </w:tr>
      <w:tr>
        <w:tc>
          <w:tcPr>
            <w:tcW w:type="dxa" w:w="26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Business description</w:t>
            </w:r>
          </w:p>
        </w:tc>
        <w:tc>
          <w:tcPr>
            <w:tcW w:type="dxa" w:w="45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Data Product Owner authoring</w:t>
            </w:r>
          </w:p>
        </w:tc>
        <w:tc>
          <w:tcPr>
            <w:tcW w:type="dxa" w:w="22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Authored</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Use-case context</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Intake form when the product was requested</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Authored</w:t>
            </w:r>
          </w:p>
        </w:tc>
      </w:tr>
      <w:tr>
        <w:tc>
          <w:tcPr>
            <w:tcW w:type="dxa" w:w="26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Manual approvals on change</w:t>
            </w:r>
          </w:p>
        </w:tc>
        <w:tc>
          <w:tcPr>
            <w:tcW w:type="dxa" w:w="45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Review workflow, recorded against changes</w:t>
            </w:r>
          </w:p>
        </w:tc>
        <w:tc>
          <w:tcPr>
            <w:tcW w:type="dxa" w:w="22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Authored</w:t>
            </w:r>
          </w:p>
        </w:tc>
      </w:tr>
    </w:tbl>
    <w:p>
      <w:pPr>
        <w:spacing w:after="80" w:before="80" w:line="300"/>
      </w:pPr>
      <w:r>
        <w:rPr>
          <w:sz w:val="22"/>
          <w:szCs w:val="22"/>
        </w:rPr>
        <w:t xml:space="preserve">Six blocks are derived. Three are authored directly. The contract is assembled by pulling the derived content from its source and combining it with the authored content. This composition happens at publish time, so the contract always reflects the current state of the underlying artefacts.</w:t>
      </w:r>
    </w:p>
    <w:p>
      <w:pPr>
        <w:pStyle w:val="Heading2"/>
        <w:spacing w:after="160" w:before="320"/>
      </w:pPr>
      <w:r>
        <w:rPr>
          <w:b/>
          <w:bCs/>
          <w:color w:val="2E5C8A"/>
          <w:sz w:val="28"/>
          <w:szCs w:val="28"/>
        </w:rPr>
        <w:t xml:space="preserve">Why composing — rather than authoring — matters</w:t>
      </w:r>
    </w:p>
    <w:p>
      <w:pPr>
        <w:pStyle w:val="Heading3"/>
        <w:spacing w:after="100" w:before="240"/>
      </w:pPr>
      <w:r>
        <w:rPr>
          <w:b/>
          <w:bCs/>
          <w:color w:val="1E2A38"/>
          <w:sz w:val="24"/>
          <w:szCs w:val="24"/>
        </w:rPr>
        <w:t xml:space="preserve">Less duplicate authoring</w:t>
      </w:r>
    </w:p>
    <w:p>
      <w:pPr>
        <w:spacing w:after="80" w:before="80" w:line="300"/>
      </w:pPr>
      <w:r>
        <w:rPr>
          <w:sz w:val="22"/>
          <w:szCs w:val="22"/>
        </w:rPr>
        <w:t xml:space="preserve">If the dimensional model is in PowerDesigner, the Metric View is in Unity Catalog, the lineage is observed by the platform, and the naming convention is enforced by validation tooling — then the contract does not need to re-enter any of that. The authoring burden is bounded to the blocks that genuinely require human input: the business description and the use-case context.</w:t>
      </w:r>
    </w:p>
    <w:p>
      <w:pPr>
        <w:pStyle w:val="Heading3"/>
        <w:spacing w:after="100" w:before="240"/>
      </w:pPr>
      <w:r>
        <w:rPr>
          <w:b/>
          <w:bCs/>
          <w:color w:val="1E2A38"/>
          <w:sz w:val="24"/>
          <w:szCs w:val="24"/>
        </w:rPr>
        <w:t xml:space="preserve">Less drift between artefacts</w:t>
      </w:r>
    </w:p>
    <w:p>
      <w:pPr>
        <w:spacing w:after="80" w:before="80" w:line="300"/>
      </w:pPr>
      <w:r>
        <w:rPr>
          <w:sz w:val="22"/>
          <w:szCs w:val="22"/>
        </w:rPr>
        <w:t xml:space="preserve">When the same fact is stated in multiple places — the dimensional model says one thing about the grain, the contract says something slightly different, the Metric View says a third — drift becomes inevitable. Composing the contract from a single source for each block keeps the artefacts in agreement by construction.</w:t>
      </w:r>
    </w:p>
    <w:p>
      <w:pPr>
        <w:pStyle w:val="Heading3"/>
        <w:spacing w:after="100" w:before="240"/>
      </w:pPr>
      <w:r>
        <w:rPr>
          <w:b/>
          <w:bCs/>
          <w:color w:val="1E2A38"/>
          <w:sz w:val="24"/>
          <w:szCs w:val="24"/>
        </w:rPr>
        <w:t xml:space="preserve">The contract becomes a faithful reflection</w:t>
      </w:r>
    </w:p>
    <w:p>
      <w:pPr>
        <w:spacing w:after="80" w:before="80" w:line="300"/>
      </w:pPr>
      <w:r>
        <w:rPr>
          <w:sz w:val="22"/>
          <w:szCs w:val="22"/>
        </w:rPr>
        <w:t xml:space="preserve">When the underlying artefact changes, the contract changes with it. A new column added to the dimensional model appears in the Metric View, which appears in the contract, which is visible to consumers. The contract is always up to date because it is generated from current state, not from a snapshot taken months ago.</w:t>
      </w:r>
    </w:p>
    <w:p>
      <w:pPr>
        <w:pStyle w:val="Heading2"/>
        <w:spacing w:after="160" w:before="320"/>
      </w:pPr>
      <w:r>
        <w:rPr>
          <w:b/>
          <w:bCs/>
          <w:color w:val="2E5C8A"/>
          <w:sz w:val="28"/>
          <w:szCs w:val="28"/>
        </w:rPr>
        <w:t xml:space="preserve">What this looks like operationally</w:t>
      </w:r>
    </w:p>
    <w:p>
      <w:pPr>
        <w:spacing w:after="80" w:before="80" w:line="300"/>
      </w:pPr>
      <w:r>
        <w:rPr>
          <w:sz w:val="22"/>
          <w:szCs w:val="22"/>
        </w:rPr>
        <w:t xml:space="preserve">For an application team building a data product, the workflow becomes:</w:t>
      </w:r>
    </w:p>
    <w:p>
      <w:pPr>
        <w:pStyle w:val="ListParagraph"/>
        <w:numPr>
          <w:ilvl w:val="0"/>
          <w:numId w:val="2"/>
        </w:numPr>
        <w:spacing w:after="40" w:before="40" w:line="280"/>
      </w:pPr>
      <w:r>
        <w:rPr>
          <w:b/>
          <w:bCs/>
          <w:sz w:val="22"/>
          <w:szCs w:val="22"/>
        </w:rPr>
        <w:t xml:space="preserve">1. </w:t>
      </w:r>
      <w:r>
        <w:rPr>
          <w:sz w:val="22"/>
          <w:szCs w:val="22"/>
        </w:rPr>
        <w:t xml:space="preserve">Build or update the dimensional model in PowerDesigner. Define facts, dimensions, keys, and quality constraints there.</w:t>
      </w:r>
    </w:p>
    <w:p>
      <w:pPr>
        <w:pStyle w:val="ListParagraph"/>
        <w:numPr>
          <w:ilvl w:val="0"/>
          <w:numId w:val="2"/>
        </w:numPr>
        <w:spacing w:after="40" w:before="40" w:line="280"/>
      </w:pPr>
      <w:r>
        <w:rPr>
          <w:b/>
          <w:bCs/>
          <w:sz w:val="22"/>
          <w:szCs w:val="22"/>
        </w:rPr>
        <w:t xml:space="preserve">2. </w:t>
      </w:r>
      <w:r>
        <w:rPr>
          <w:sz w:val="22"/>
          <w:szCs w:val="22"/>
        </w:rPr>
        <w:t xml:space="preserve">Define the Metric View in Unity Catalog. Declare measures, dimensions, joins, and aggregation rules.</w:t>
      </w:r>
    </w:p>
    <w:p>
      <w:pPr>
        <w:pStyle w:val="ListParagraph"/>
        <w:numPr>
          <w:ilvl w:val="0"/>
          <w:numId w:val="2"/>
        </w:numPr>
        <w:spacing w:after="40" w:before="40" w:line="280"/>
      </w:pPr>
      <w:r>
        <w:rPr>
          <w:b/>
          <w:bCs/>
          <w:sz w:val="22"/>
          <w:szCs w:val="22"/>
        </w:rPr>
        <w:t xml:space="preserve">3. </w:t>
      </w:r>
      <w:r>
        <w:rPr>
          <w:sz w:val="22"/>
          <w:szCs w:val="22"/>
        </w:rPr>
        <w:t xml:space="preserve">Apply the naming convention. Validation tooling confirms compliance.</w:t>
      </w:r>
    </w:p>
    <w:p>
      <w:pPr>
        <w:pStyle w:val="ListParagraph"/>
        <w:numPr>
          <w:ilvl w:val="0"/>
          <w:numId w:val="2"/>
        </w:numPr>
        <w:spacing w:after="40" w:before="40" w:line="280"/>
      </w:pPr>
      <w:r>
        <w:rPr>
          <w:b/>
          <w:bCs/>
          <w:sz w:val="22"/>
          <w:szCs w:val="22"/>
        </w:rPr>
        <w:t xml:space="preserve">4. </w:t>
      </w:r>
      <w:r>
        <w:rPr>
          <w:sz w:val="22"/>
          <w:szCs w:val="22"/>
        </w:rPr>
        <w:t xml:space="preserve">Tag for classification and ownership at the CI layer. These propagate to the contract automatically.</w:t>
      </w:r>
    </w:p>
    <w:p>
      <w:pPr>
        <w:pStyle w:val="ListParagraph"/>
        <w:numPr>
          <w:ilvl w:val="0"/>
          <w:numId w:val="2"/>
        </w:numPr>
        <w:spacing w:after="40" w:before="40" w:line="280"/>
      </w:pPr>
      <w:r>
        <w:rPr>
          <w:b/>
          <w:bCs/>
          <w:sz w:val="22"/>
          <w:szCs w:val="22"/>
        </w:rPr>
        <w:t xml:space="preserve">5. </w:t>
      </w:r>
      <w:r>
        <w:rPr>
          <w:sz w:val="22"/>
          <w:szCs w:val="22"/>
        </w:rPr>
        <w:t xml:space="preserve">Author the business description and capture the use-case context. These are the blocks no tool can derive.</w:t>
      </w:r>
    </w:p>
    <w:p>
      <w:pPr>
        <w:pStyle w:val="ListParagraph"/>
        <w:numPr>
          <w:ilvl w:val="0"/>
          <w:numId w:val="2"/>
        </w:numPr>
        <w:spacing w:after="40" w:before="40" w:line="280"/>
      </w:pPr>
      <w:r>
        <w:rPr>
          <w:b/>
          <w:bCs/>
          <w:sz w:val="22"/>
          <w:szCs w:val="22"/>
        </w:rPr>
        <w:t xml:space="preserve">6. </w:t>
      </w:r>
      <w:r>
        <w:rPr>
          <w:sz w:val="22"/>
          <w:szCs w:val="22"/>
        </w:rPr>
        <w:t xml:space="preserve">Publish. The contract is assembled from the current state of all the above.</w:t>
      </w:r>
    </w:p>
    <w:p>
      <w:pPr>
        <w:spacing w:after="80" w:before="80" w:line="300"/>
      </w:pPr>
      <w:r>
        <w:rPr>
          <w:sz w:val="22"/>
          <w:szCs w:val="22"/>
        </w:rPr>
        <w:t xml:space="preserve">The work is in the underlying artefacts. The contract is the assembled view. Changes to any underlying artefact propagate to the next publish of the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F5B" w:sz="24"/>
              <w:bottom w:val="none" w:color="FFFFFF" w:sz="0"/>
              <w:right w:val="none" w:color="FFFFFF" w:sz="0"/>
            </w:tcBorders>
            <w:shd w:fill="E7F4EC" w:val="clear"/>
            <w:tcMar>
              <w:top w:type="dxa" w:w="180"/>
              <w:left w:type="dxa" w:w="260"/>
              <w:bottom w:type="dxa" w:w="180"/>
              <w:right w:type="dxa" w:w="200"/>
            </w:tcMar>
          </w:tcPr>
          <w:p>
            <w:pPr>
              <w:spacing w:after="40" w:before="40" w:line="300"/>
            </w:pPr>
            <w:r>
              <w:rPr>
                <w:b/>
                <w:bCs/>
                <w:sz w:val="22"/>
                <w:szCs w:val="22"/>
              </w:rPr>
              <w:t xml:space="preserve">Headline: </w:t>
            </w:r>
            <w:r>
              <w:rPr>
                <w:sz w:val="22"/>
                <w:szCs w:val="22"/>
              </w:rPr>
              <w:t xml:space="preserve">the contract is not a document to be written. It is an assembly of existing artefacts plus a small number of authored blocks. The investment is in the underlying model, the Metric View, and the conventions — not in the contract itself.</w:t>
            </w:r>
          </w:p>
        </w:tc>
      </w:tr>
    </w:tbl>
    <w:p>
      <w:pPr>
        <w:pStyle w:val="Heading2"/>
        <w:spacing w:after="160" w:before="320"/>
      </w:pPr>
      <w:r>
        <w:rPr>
          <w:b/>
          <w:bCs/>
          <w:color w:val="2E5C8A"/>
          <w:sz w:val="28"/>
          <w:szCs w:val="28"/>
        </w:rPr>
        <w:t xml:space="preserve">Where the contract lives and who reads it</w:t>
      </w:r>
    </w:p>
    <w:p>
      <w:pPr>
        <w:spacing w:after="80" w:before="80" w:line="300"/>
      </w:pPr>
      <w:r>
        <w:rPr>
          <w:sz w:val="22"/>
          <w:szCs w:val="22"/>
        </w:rPr>
        <w:t xml:space="preserve">The contract is published as a versioned object alongside the data product it describes. Consumers — both human and machine — refer to it to understand what they are using.</w:t>
      </w:r>
    </w:p>
    <w:p>
      <w:pPr>
        <w:pStyle w:val="ListParagraph"/>
        <w:numPr>
          <w:ilvl w:val="0"/>
          <w:numId w:val="2"/>
        </w:numPr>
        <w:spacing w:after="40" w:before="40" w:line="280"/>
      </w:pPr>
      <w:r>
        <w:rPr>
          <w:b/>
          <w:bCs/>
          <w:sz w:val="22"/>
          <w:szCs w:val="22"/>
        </w:rPr>
        <w:t xml:space="preserve">Business consumers </w:t>
      </w:r>
      <w:r>
        <w:rPr>
          <w:sz w:val="22"/>
          <w:szCs w:val="22"/>
        </w:rPr>
        <w:t xml:space="preserve">use the business description and the use-case context to understand what the product is for.</w:t>
      </w:r>
    </w:p>
    <w:p>
      <w:pPr>
        <w:pStyle w:val="ListParagraph"/>
        <w:numPr>
          <w:ilvl w:val="0"/>
          <w:numId w:val="2"/>
        </w:numPr>
        <w:spacing w:after="40" w:before="40" w:line="280"/>
      </w:pPr>
      <w:r>
        <w:rPr>
          <w:b/>
          <w:bCs/>
          <w:sz w:val="22"/>
          <w:szCs w:val="22"/>
        </w:rPr>
        <w:t xml:space="preserve">Analysts and developers </w:t>
      </w:r>
      <w:r>
        <w:rPr>
          <w:sz w:val="22"/>
          <w:szCs w:val="22"/>
        </w:rPr>
        <w:t xml:space="preserve">use the grain, dimensions, measures, and lineage to write reliable queries or downstream products.</w:t>
      </w:r>
    </w:p>
    <w:p>
      <w:pPr>
        <w:pStyle w:val="ListParagraph"/>
        <w:numPr>
          <w:ilvl w:val="0"/>
          <w:numId w:val="2"/>
        </w:numPr>
        <w:spacing w:after="40" w:before="40" w:line="280"/>
      </w:pPr>
      <w:r>
        <w:rPr>
          <w:b/>
          <w:bCs/>
          <w:sz w:val="22"/>
          <w:szCs w:val="22"/>
        </w:rPr>
        <w:t xml:space="preserve">Governance and audit </w:t>
      </w:r>
      <w:r>
        <w:rPr>
          <w:sz w:val="22"/>
          <w:szCs w:val="22"/>
        </w:rPr>
        <w:t xml:space="preserve">use the ownership, classification, and change history to track responsibility and review trails.</w:t>
      </w:r>
    </w:p>
    <w:p>
      <w:pPr>
        <w:pStyle w:val="ListParagraph"/>
        <w:numPr>
          <w:ilvl w:val="0"/>
          <w:numId w:val="2"/>
        </w:numPr>
        <w:spacing w:after="40" w:before="40" w:line="280"/>
      </w:pPr>
      <w:r>
        <w:rPr>
          <w:b/>
          <w:bCs/>
          <w:sz w:val="22"/>
          <w:szCs w:val="22"/>
        </w:rPr>
        <w:t xml:space="preserve">AI and natural-language tools </w:t>
      </w:r>
      <w:r>
        <w:rPr>
          <w:sz w:val="22"/>
          <w:szCs w:val="22"/>
        </w:rPr>
        <w:t xml:space="preserve">use the structured blocks of the contract to reason about what a data product contains without having to infer.</w:t>
      </w:r>
    </w:p>
    <w:p>
      <w:pPr>
        <w:spacing w:after="40" w:before="40"/>
      </w:pPr>
      <w:r>
        <w:rPr>
          <w:sz w:val="22"/>
          <w:szCs w:val="22"/>
        </w:rPr>
        <w:t xml:space="preserve">🛠 </w:t>
      </w:r>
      <w:r>
        <w:rPr>
          <w:i/>
          <w:iCs/>
          <w:color w:val="2E5C8A"/>
          <w:sz w:val="22"/>
          <w:szCs w:val="22"/>
        </w:rPr>
        <w:t xml:space="preserve">[Tool link to attach in Confluence: Data contract specification — current version]</w:t>
      </w:r>
    </w:p>
    <w:p>
      <w:pPr>
        <w:spacing w:after="40" w:before="40"/>
      </w:pPr>
      <w:r>
        <w:rPr>
          <w:sz w:val="22"/>
          <w:szCs w:val="22"/>
        </w:rPr>
        <w:t xml:space="preserve">🛠 </w:t>
      </w:r>
      <w:r>
        <w:rPr>
          <w:i/>
          <w:iCs/>
          <w:color w:val="2E5C8A"/>
          <w:sz w:val="22"/>
          <w:szCs w:val="22"/>
        </w:rPr>
        <w:t xml:space="preserve">[Tool link to attach in Confluence: Standards &amp; Artifacts Library — contract template]</w:t>
      </w:r>
    </w:p>
    <w:p>
      <w:pPr>
        <w:pStyle w:val="Heading2"/>
        <w:spacing w:after="160" w:before="320"/>
      </w:pPr>
      <w:r>
        <w:rPr>
          <w:b/>
          <w:bCs/>
          <w:color w:val="2E5C8A"/>
          <w:sz w:val="28"/>
          <w:szCs w:val="28"/>
        </w:rPr>
        <w:t xml:space="preserve">A worked example — from CMOS CSV files to published data products</w:t>
      </w:r>
    </w:p>
    <w:p>
      <w:pPr>
        <w:spacing w:after="80" w:before="80" w:line="300"/>
      </w:pPr>
      <w:r>
        <w:rPr>
          <w:sz w:val="22"/>
          <w:szCs w:val="22"/>
        </w:rPr>
        <w:t xml:space="preserve">The blocks described above stay abstract until they are walked through against a real case. This section takes the actual CMOS outputs — four CSV files (Daily Exposure, Disputes, Settlements, Trades) plus the Collateral Domain JSON — and steps through what it takes to publish them as governed data products. The conformance work threads through every step.</w:t>
      </w:r>
    </w:p>
    <w:p>
      <w:pPr>
        <w:spacing w:after="80" w:before="80" w:line="300"/>
      </w:pPr>
      <w:r>
        <w:rPr>
          <w:sz w:val="22"/>
          <w:szCs w:val="22"/>
        </w:rPr>
        <w:t xml:space="preserve">This is not a checklist of tasks one team executes once. It is the pattern that every application team in risk goes through when promoting their existing outputs into the governed model. The first time through is slower because the conformed entities and dimensions need to be built; subsequent applications benefit from what is already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Starting point. </w:t>
            </w:r>
            <w:r>
              <w:rPr>
                <w:sz w:val="22"/>
                <w:szCs w:val="22"/>
              </w:rPr>
              <w:t xml:space="preserve">Five files exist today: Daily Exposure (CSV), Disputes (CSV), Settlements (CSV), Trades (CSV), and the Collateral Domain extract (JSON, one document per counterparty). They are produced by CMOS and distributed downstream. The work below promotes them into published data products that downstream consumers can rely on with explicit contracts.</w:t>
            </w:r>
          </w:p>
        </w:tc>
      </w:tr>
    </w:tbl>
    <w:p>
      <w:pPr>
        <w:pStyle w:val="Heading3"/>
        <w:spacing w:after="100" w:before="240"/>
      </w:pPr>
      <w:r>
        <w:rPr>
          <w:b/>
          <w:bCs/>
          <w:color w:val="1E2A38"/>
          <w:sz w:val="24"/>
          <w:szCs w:val="24"/>
        </w:rPr>
        <w:t xml:space="preserve">Step 1 — Classify the attributes by entity</w:t>
      </w:r>
    </w:p>
    <w:p>
      <w:pPr>
        <w:spacing w:after="80" w:before="80" w:line="300"/>
      </w:pPr>
      <w:r>
        <w:rPr>
          <w:sz w:val="22"/>
          <w:szCs w:val="22"/>
        </w:rPr>
        <w:t xml:space="preserve">For each file, identify the entities the columns represent. The Daily Exposure file's counterparty_id, counterparty_name, lei refer to a Counterparty. Its agreement_id and agreement_type refer to an Agreement. Its event_date and as_of_date refer to a Date. Its base_total_exposure is a Measure. The same exercise applies to each file.</w:t>
      </w:r>
    </w:p>
    <w:p>
      <w:pPr>
        <w:spacing w:after="80" w:before="80" w:line="300"/>
      </w:pPr>
      <w:r>
        <w:rPr>
          <w:sz w:val="22"/>
          <w:szCs w:val="22"/>
        </w:rPr>
        <w:t xml:space="preserve">This classification is the source for what becomes the dimensions and facts in the analytical model. It is also where conformance work begins: noting that "Counterparty" appears in all five files means the Counterparty dimension needs one governed definition across them. The Conformance sub-page describes the classification step in more detail.</w:t>
      </w:r>
    </w:p>
    <w:p>
      <w:pPr>
        <w:spacing w:after="40" w:before="40"/>
      </w:pPr>
      <w:r>
        <w:rPr>
          <w:sz w:val="22"/>
          <w:szCs w:val="22"/>
        </w:rPr>
        <w:t xml:space="preserve">🛠 </w:t>
      </w:r>
      <w:r>
        <w:rPr>
          <w:i/>
          <w:iCs/>
          <w:color w:val="2E5C8A"/>
          <w:sz w:val="22"/>
          <w:szCs w:val="22"/>
        </w:rPr>
        <w:t xml:space="preserve">[Tool link to attach in Confluence: Conformance — the longer view (classification step)]</w:t>
      </w:r>
    </w:p>
    <w:p>
      <w:pPr>
        <w:pStyle w:val="Heading3"/>
        <w:spacing w:after="100" w:before="240"/>
      </w:pPr>
      <w:r>
        <w:rPr>
          <w:b/>
          <w:bCs/>
          <w:color w:val="1E2A38"/>
          <w:sz w:val="24"/>
          <w:szCs w:val="24"/>
        </w:rPr>
        <w:t xml:space="preserve">Step 2 — Declare the sourcing contract for each file</w:t>
      </w:r>
    </w:p>
    <w:p>
      <w:pPr>
        <w:spacing w:after="80" w:before="80" w:line="300"/>
      </w:pPr>
      <w:r>
        <w:rPr>
          <w:sz w:val="22"/>
          <w:szCs w:val="22"/>
        </w:rPr>
        <w:t xml:space="preserve">For each file, declare: source (CMOS), platform (whatever CMOS delivers via — typically a queue and a file drop), schedule (daily for the CSVs, intraday for parts of the JSON), protocol (CSV file via SFTP, JSON via API), and any transformations applied between the CMOS internal data and what appears in the file.</w:t>
      </w:r>
    </w:p>
    <w:p>
      <w:pPr>
        <w:spacing w:after="80" w:before="80" w:line="300"/>
      </w:pPr>
      <w:r>
        <w:rPr>
          <w:sz w:val="22"/>
          <w:szCs w:val="22"/>
        </w:rPr>
        <w:t xml:space="preserve">This populates the Risk Data Catalog at the source-to-application level for each file, and starts the work on the attribute-level mapping that is the next conformance increment.</w:t>
      </w:r>
    </w:p>
    <w:p>
      <w:pPr>
        <w:spacing w:after="40" w:before="40"/>
      </w:pPr>
      <w:r>
        <w:rPr>
          <w:sz w:val="22"/>
          <w:szCs w:val="22"/>
        </w:rPr>
        <w:t xml:space="preserve">🛠 </w:t>
      </w:r>
      <w:r>
        <w:rPr>
          <w:i/>
          <w:iCs/>
          <w:color w:val="2E5C8A"/>
          <w:sz w:val="22"/>
          <w:szCs w:val="22"/>
        </w:rPr>
        <w:t xml:space="preserve">[Tool link to attach in Confluence: Risk Data Catalog]</w:t>
      </w:r>
    </w:p>
    <w:p>
      <w:pPr>
        <w:pStyle w:val="Heading3"/>
        <w:spacing w:after="100" w:before="240"/>
      </w:pPr>
      <w:r>
        <w:rPr>
          <w:b/>
          <w:bCs/>
          <w:color w:val="1E2A38"/>
          <w:sz w:val="24"/>
          <w:szCs w:val="24"/>
        </w:rPr>
        <w:t xml:space="preserve">Step 3 — Identify the conformance points</w:t>
      </w:r>
    </w:p>
    <w:p>
      <w:pPr>
        <w:spacing w:after="80" w:before="80" w:line="300"/>
      </w:pPr>
      <w:r>
        <w:rPr>
          <w:sz w:val="22"/>
          <w:szCs w:val="22"/>
        </w:rPr>
        <w:t xml:space="preserve">Where do the files reference shared entities that need conformed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Entity in the files</w:t>
            </w:r>
          </w:p>
        </w:tc>
        <w:tc>
          <w:tcPr>
            <w:tcW w:type="dxa" w:w="34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Conformance status</w:t>
            </w:r>
          </w:p>
        </w:tc>
        <w:tc>
          <w:tcPr>
            <w:tcW w:type="dxa" w:w="31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to do</w:t>
            </w:r>
          </w:p>
        </w:tc>
      </w:tr>
      <w:tr>
        <w:tc>
          <w:tcPr>
            <w:tcW w:type="dxa" w:w="28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w:t>
            </w:r>
          </w:p>
        </w:tc>
        <w:tc>
          <w:tcPr>
            <w:tcW w:type="dxa" w:w="3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Currently inconsistent — Central 1 appears three ways across the files</w:t>
            </w:r>
          </w:p>
        </w:tc>
        <w:tc>
          <w:tcPr>
            <w:tcW w:type="dxa" w:w="31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Define one conformed Counterparty identifier; declare which value in each file maps to it; document the mapping rule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Agreement</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Mostly consistent (agreement_id appears uniformly)</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Confirm consistency across files; declare canonical Agreement definition</w:t>
            </w:r>
          </w:p>
        </w:tc>
      </w:tr>
      <w:tr>
        <w:tc>
          <w:tcPr>
            <w:tcW w:type="dxa" w:w="28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Asset Class</w:t>
            </w:r>
          </w:p>
        </w:tc>
        <w:tc>
          <w:tcPr>
            <w:tcW w:type="dxa" w:w="3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Variant — Sovereign Bond / Government Bond / Government of Canada Bond appear in different places</w:t>
            </w:r>
          </w:p>
        </w:tc>
        <w:tc>
          <w:tcPr>
            <w:tcW w:type="dxa" w:w="31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Build conformed Asset Class with classification rules per the asset-class example in the Conformance sub-page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Collateral Type</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Several physical sub-types (Cash, Bond, Equity) need supertype/subtype modelling</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Build conformed Collateral Position with sub-types per the worked example</w:t>
            </w:r>
          </w:p>
        </w:tc>
      </w:tr>
      <w:tr>
        <w:tc>
          <w:tcPr>
            <w:tcW w:type="dxa" w:w="28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Currency</w:t>
            </w:r>
          </w:p>
        </w:tc>
        <w:tc>
          <w:tcPr>
            <w:tcW w:type="dxa" w:w="3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Standard ISO 4217 — minimal conformance work</w:t>
            </w:r>
          </w:p>
        </w:tc>
        <w:tc>
          <w:tcPr>
            <w:tcW w:type="dxa" w:w="31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Reference the existing conformed Currency dimension</w:t>
            </w:r>
          </w:p>
        </w:tc>
      </w:tr>
    </w:tbl>
    <w:p>
      <w:pPr>
        <w:spacing w:after="80" w:before="80" w:line="300"/>
      </w:pPr>
      <w:r>
        <w:rPr>
          <w:sz w:val="22"/>
          <w:szCs w:val="22"/>
        </w:rPr>
        <w:t xml:space="preserve">For each conformance point, the decision is whether the existing data already meets the conformed definition or whether transformation work is needed in the publishing pipeline. The result is a clear list of conformance dependencies before any data products can be published.</w:t>
      </w:r>
    </w:p>
    <w:p>
      <w:pPr>
        <w:pStyle w:val="Heading3"/>
        <w:spacing w:after="100" w:before="240"/>
      </w:pPr>
      <w:r>
        <w:rPr>
          <w:b/>
          <w:bCs/>
          <w:color w:val="1E2A38"/>
          <w:sz w:val="24"/>
          <w:szCs w:val="24"/>
        </w:rPr>
        <w:t xml:space="preserve">Step 4 — Define the dimensional shape</w:t>
      </w:r>
    </w:p>
    <w:p>
      <w:pPr>
        <w:spacing w:after="80" w:before="80" w:line="300"/>
      </w:pPr>
      <w:r>
        <w:rPr>
          <w:sz w:val="22"/>
          <w:szCs w:val="22"/>
        </w:rPr>
        <w:t xml:space="preserve">For each file, declare the grain (the level at which one row corresponds to one fact) and identify which entities become facts versus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File</w:t>
            </w:r>
          </w:p>
        </w:tc>
        <w:tc>
          <w:tcPr>
            <w:tcW w:type="dxa" w:w="28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Grain (one row = …)</w:t>
            </w:r>
          </w:p>
        </w:tc>
        <w:tc>
          <w:tcPr>
            <w:tcW w:type="dxa" w:w="39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Fact / dimension contribution</w:t>
            </w:r>
          </w:p>
        </w:tc>
      </w:tr>
      <w:tr>
        <w:tc>
          <w:tcPr>
            <w:tcW w:type="dxa" w:w="26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Daily Exposure</w:t>
            </w:r>
          </w:p>
        </w:tc>
        <w:tc>
          <w:tcPr>
            <w:tcW w:type="dxa" w:w="28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 × agreement × event_date</w:t>
            </w:r>
          </w:p>
        </w:tc>
        <w:tc>
          <w:tcPr>
            <w:tcW w:type="dxa" w:w="39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Becomes fact_exposure_daily with measures (exposure_amount, im_exposure, vm_exposure)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Disputes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Per dispute event</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Becomes fact_dispute with measures (disputed_amount, days_open)</w:t>
            </w:r>
          </w:p>
        </w:tc>
      </w:tr>
      <w:tr>
        <w:tc>
          <w:tcPr>
            <w:tcW w:type="dxa" w:w="26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Settlements</w:t>
            </w:r>
          </w:p>
        </w:tc>
        <w:tc>
          <w:tcPr>
            <w:tcW w:type="dxa" w:w="28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Per settlement event</w:t>
            </w:r>
          </w:p>
        </w:tc>
        <w:tc>
          <w:tcPr>
            <w:tcW w:type="dxa" w:w="39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Becomes fact_settlement with measures (settled_amount, settle_lag_days)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Trades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Per trade</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Contributes to dim_trade and to fact_trade_pv with measures (notional, pv)</w:t>
            </w:r>
          </w:p>
        </w:tc>
      </w:tr>
      <w:tr>
        <w:tc>
          <w:tcPr>
            <w:tcW w:type="dxa" w:w="26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Collateral Domain JSON</w:t>
            </w:r>
          </w:p>
        </w:tc>
        <w:tc>
          <w:tcPr>
            <w:tcW w:type="dxa" w:w="28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Exploded into multiple entities</w:t>
            </w:r>
          </w:p>
        </w:tc>
        <w:tc>
          <w:tcPr>
            <w:tcW w:type="dxa" w:w="39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 Agreement, Trade, Margin Call, Asset Holding, Asset Movement, Dispute as canonical entities; some contribute to facts, others to dimensions</w:t>
            </w:r>
          </w:p>
        </w:tc>
      </w:tr>
    </w:tbl>
    <w:p>
      <w:pPr>
        <w:spacing w:after="80" w:before="80" w:line="300"/>
      </w:pPr>
      <w:r>
        <w:rPr>
          <w:sz w:val="22"/>
          <w:szCs w:val="22"/>
        </w:rPr>
        <w:t xml:space="preserve">The shared entities — Counterparty, Agreement, Date, Currency — become conformed dimensions referenced by all facts. The full design is in the Collateral worked-example sub-page.</w:t>
      </w:r>
    </w:p>
    <w:p>
      <w:pPr>
        <w:spacing w:after="40" w:before="40"/>
      </w:pPr>
      <w:r>
        <w:rPr>
          <w:sz w:val="22"/>
          <w:szCs w:val="22"/>
        </w:rPr>
        <w:t xml:space="preserve">🛠 </w:t>
      </w:r>
      <w:r>
        <w:rPr>
          <w:i/>
          <w:iCs/>
          <w:color w:val="2E5C8A"/>
          <w:sz w:val="22"/>
          <w:szCs w:val="22"/>
        </w:rPr>
        <w:t xml:space="preserve">[Tool link to attach in Confluence: Worked example — Collateral (full dimensional design)]</w:t>
      </w:r>
    </w:p>
    <w:p>
      <w:pPr>
        <w:pStyle w:val="Heading3"/>
        <w:spacing w:after="100" w:before="240"/>
      </w:pPr>
      <w:r>
        <w:rPr>
          <w:b/>
          <w:bCs/>
          <w:color w:val="1E2A38"/>
          <w:sz w:val="24"/>
          <w:szCs w:val="24"/>
        </w:rPr>
        <w:t xml:space="preserve">Step 5 — Build the Metric Views</w:t>
      </w:r>
    </w:p>
    <w:p>
      <w:pPr>
        <w:spacing w:after="80" w:before="80" w:line="300"/>
      </w:pPr>
      <w:r>
        <w:rPr>
          <w:sz w:val="22"/>
          <w:szCs w:val="22"/>
        </w:rPr>
        <w:t xml:space="preserve">For each fact, declare in the Metric View: the measures, the aggregation rules (semi-additive for exposure across dates, additive across counterparties; per-event additive for margin calls; weighted average for ratios), the joins to dimensions, and the drill paths. Once defined, every BI tool, ad-hoc query, AI agent, and downstream consumer reads through the Metric View — they do not need to know the underlying table structure.</w:t>
      </w:r>
    </w:p>
    <w:p>
      <w:pPr>
        <w:spacing w:after="80" w:before="80" w:line="300"/>
      </w:pPr>
      <w:r>
        <w:rPr>
          <w:sz w:val="22"/>
          <w:szCs w:val="22"/>
        </w:rPr>
        <w:t xml:space="preserve">The Metric View becomes the semantic layer entry point and is what every consumer binds to.</w:t>
      </w:r>
    </w:p>
    <w:p>
      <w:pPr>
        <w:spacing w:after="40" w:before="40"/>
      </w:pPr>
      <w:r>
        <w:rPr>
          <w:sz w:val="22"/>
          <w:szCs w:val="22"/>
        </w:rPr>
        <w:t xml:space="preserve">🛠 </w:t>
      </w:r>
      <w:r>
        <w:rPr>
          <w:i/>
          <w:iCs/>
          <w:color w:val="2E5C8A"/>
          <w:sz w:val="22"/>
          <w:szCs w:val="22"/>
        </w:rPr>
        <w:t xml:space="preserve">[Tool link to attach in Confluence: From query-based to model-based consumption (Metric Views detail)]</w:t>
      </w:r>
    </w:p>
    <w:p>
      <w:pPr>
        <w:pStyle w:val="Heading3"/>
        <w:spacing w:after="100" w:before="240"/>
      </w:pPr>
      <w:r>
        <w:rPr>
          <w:b/>
          <w:bCs/>
          <w:color w:val="1E2A38"/>
          <w:sz w:val="24"/>
          <w:szCs w:val="24"/>
        </w:rPr>
        <w:t xml:space="preserve">Step 6 — Compose the data contract</w:t>
      </w:r>
    </w:p>
    <w:p>
      <w:pPr>
        <w:spacing w:after="80" w:before="80" w:line="300"/>
      </w:pPr>
      <w:r>
        <w:rPr>
          <w:sz w:val="22"/>
          <w:szCs w:val="22"/>
        </w:rPr>
        <w:t xml:space="preserve">The contract pulls together everything from Steps 1-5 plus the application-layer tags from CI, observed lineage from Unity Catalog, quality constraints from PowerDesigner, and change history from Jira / Git. The application team authors the business description and the use-case context; everything else is derived.</w:t>
      </w:r>
    </w:p>
    <w:p>
      <w:pPr>
        <w:spacing w:after="80" w:before="80" w:line="300"/>
      </w:pPr>
      <w:r>
        <w:rPr>
          <w:sz w:val="22"/>
          <w:szCs w:val="22"/>
        </w:rPr>
        <w:t xml:space="preserve">This is exactly the composition pattern described above on this page — six blocks derived, three authored. The worked example just makes the inputs concrete: the grain comes from Step 4; the dimensions and measures come from Step 5; the conformance dependencies come from Step 3; the sourcing comes from Step 2; the classification comes from Step 1.</w:t>
      </w:r>
    </w:p>
    <w:p>
      <w:pPr>
        <w:pStyle w:val="Heading3"/>
        <w:spacing w:after="100" w:before="240"/>
      </w:pPr>
      <w:r>
        <w:rPr>
          <w:b/>
          <w:bCs/>
          <w:color w:val="1E2A38"/>
          <w:sz w:val="24"/>
          <w:szCs w:val="24"/>
        </w:rPr>
        <w:t xml:space="preserve">Step 7 — Publish</w:t>
      </w:r>
    </w:p>
    <w:p>
      <w:pPr>
        <w:spacing w:after="80" w:before="80" w:line="300"/>
      </w:pPr>
      <w:r>
        <w:rPr>
          <w:sz w:val="22"/>
          <w:szCs w:val="22"/>
        </w:rPr>
        <w:t xml:space="preserve">The contract is published as a versioned object alongside the data products. Consumers find them via the catalog, read the contract to understand what they are using, and bind through the Metric Views. The application team continues to produce the underlying data; the contract is the durable interface.</w:t>
      </w:r>
    </w:p>
    <w:p>
      <w:pPr>
        <w:pStyle w:val="Heading3"/>
        <w:spacing w:after="100" w:before="240"/>
      </w:pPr>
      <w:r>
        <w:rPr>
          <w:b/>
          <w:bCs/>
          <w:color w:val="1E2A38"/>
          <w:sz w:val="24"/>
          <w:szCs w:val="24"/>
        </w:rPr>
        <w:t xml:space="preserve">Where conformance lives in the pipeline</w:t>
      </w:r>
    </w:p>
    <w:p>
      <w:pPr>
        <w:spacing w:after="80" w:before="80" w:line="300"/>
      </w:pPr>
      <w:r>
        <w:rPr>
          <w:sz w:val="22"/>
          <w:szCs w:val="22"/>
        </w:rPr>
        <w:t xml:space="preserve">Conformance is not Step 3 alone. It runs through every step:</w:t>
      </w:r>
    </w:p>
    <w:p>
      <w:pPr>
        <w:pStyle w:val="ListParagraph"/>
        <w:numPr>
          <w:ilvl w:val="0"/>
          <w:numId w:val="2"/>
        </w:numPr>
        <w:spacing w:after="40" w:before="40" w:line="280"/>
      </w:pPr>
      <w:r>
        <w:rPr>
          <w:b/>
          <w:bCs/>
          <w:sz w:val="22"/>
          <w:szCs w:val="22"/>
        </w:rPr>
        <w:t xml:space="preserve">Step 1 (classification) </w:t>
      </w:r>
      <w:r>
        <w:rPr>
          <w:sz w:val="22"/>
          <w:szCs w:val="22"/>
        </w:rPr>
        <w:t xml:space="preserve">identifies which entities exist in the files — without this, the conformance question cannot even be asked.</w:t>
      </w:r>
    </w:p>
    <w:p>
      <w:pPr>
        <w:pStyle w:val="ListParagraph"/>
        <w:numPr>
          <w:ilvl w:val="0"/>
          <w:numId w:val="2"/>
        </w:numPr>
        <w:spacing w:after="40" w:before="40" w:line="280"/>
      </w:pPr>
      <w:r>
        <w:rPr>
          <w:b/>
          <w:bCs/>
          <w:sz w:val="22"/>
          <w:szCs w:val="22"/>
        </w:rPr>
        <w:t xml:space="preserve">Step 2 (sourcing contract) </w:t>
      </w:r>
      <w:r>
        <w:rPr>
          <w:sz w:val="22"/>
          <w:szCs w:val="22"/>
        </w:rPr>
        <w:t xml:space="preserve">captures where each value came from — the conformance verifier's input.</w:t>
      </w:r>
    </w:p>
    <w:p>
      <w:pPr>
        <w:pStyle w:val="ListParagraph"/>
        <w:numPr>
          <w:ilvl w:val="0"/>
          <w:numId w:val="2"/>
        </w:numPr>
        <w:spacing w:after="40" w:before="40" w:line="280"/>
      </w:pPr>
      <w:r>
        <w:rPr>
          <w:b/>
          <w:bCs/>
          <w:sz w:val="22"/>
          <w:szCs w:val="22"/>
        </w:rPr>
        <w:t xml:space="preserve">Step 3 (explicit conformance check) </w:t>
      </w:r>
      <w:r>
        <w:rPr>
          <w:sz w:val="22"/>
          <w:szCs w:val="22"/>
        </w:rPr>
        <w:t xml:space="preserve">decides which entities need conformed definitions, and which existing files already meet them.</w:t>
      </w:r>
    </w:p>
    <w:p>
      <w:pPr>
        <w:pStyle w:val="ListParagraph"/>
        <w:numPr>
          <w:ilvl w:val="0"/>
          <w:numId w:val="2"/>
        </w:numPr>
        <w:spacing w:after="40" w:before="40" w:line="280"/>
      </w:pPr>
      <w:r>
        <w:rPr>
          <w:b/>
          <w:bCs/>
          <w:sz w:val="22"/>
          <w:szCs w:val="22"/>
        </w:rPr>
        <w:t xml:space="preserve">Step 4 (dimensional shape) </w:t>
      </w:r>
      <w:r>
        <w:rPr>
          <w:sz w:val="22"/>
          <w:szCs w:val="22"/>
        </w:rPr>
        <w:t xml:space="preserve">uses the conformed dimensions, not application-local copies.</w:t>
      </w:r>
    </w:p>
    <w:p>
      <w:pPr>
        <w:pStyle w:val="ListParagraph"/>
        <w:numPr>
          <w:ilvl w:val="0"/>
          <w:numId w:val="2"/>
        </w:numPr>
        <w:spacing w:after="40" w:before="40" w:line="280"/>
      </w:pPr>
      <w:r>
        <w:rPr>
          <w:b/>
          <w:bCs/>
          <w:sz w:val="22"/>
          <w:szCs w:val="22"/>
        </w:rPr>
        <w:t xml:space="preserve">Step 5 (Metric Views) </w:t>
      </w:r>
      <w:r>
        <w:rPr>
          <w:sz w:val="22"/>
          <w:szCs w:val="22"/>
        </w:rPr>
        <w:t xml:space="preserve">references the conformed dimensions in their join definitions.</w:t>
      </w:r>
    </w:p>
    <w:p>
      <w:pPr>
        <w:pStyle w:val="ListParagraph"/>
        <w:numPr>
          <w:ilvl w:val="0"/>
          <w:numId w:val="2"/>
        </w:numPr>
        <w:spacing w:after="40" w:before="40" w:line="280"/>
      </w:pPr>
      <w:r>
        <w:rPr>
          <w:b/>
          <w:bCs/>
          <w:sz w:val="22"/>
          <w:szCs w:val="22"/>
        </w:rPr>
        <w:t xml:space="preserve">Step 6 (contract composition) </w:t>
      </w:r>
      <w:r>
        <w:rPr>
          <w:sz w:val="22"/>
          <w:szCs w:val="22"/>
        </w:rPr>
        <w:t xml:space="preserve">declares the conformed definitions the product depends on.</w:t>
      </w:r>
    </w:p>
    <w:p>
      <w:pPr>
        <w:pStyle w:val="ListParagraph"/>
        <w:numPr>
          <w:ilvl w:val="0"/>
          <w:numId w:val="2"/>
        </w:numPr>
        <w:spacing w:after="40" w:before="40" w:line="280"/>
      </w:pPr>
      <w:r>
        <w:rPr>
          <w:b/>
          <w:bCs/>
          <w:sz w:val="22"/>
          <w:szCs w:val="22"/>
        </w:rPr>
        <w:t xml:space="preserve">Step 7 (publish) </w:t>
      </w:r>
      <w:r>
        <w:rPr>
          <w:sz w:val="22"/>
          <w:szCs w:val="22"/>
        </w:rPr>
        <w:t xml:space="preserve">makes the conformed picture visible to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F5B" w:sz="24"/>
              <w:bottom w:val="none" w:color="FFFFFF" w:sz="0"/>
              <w:right w:val="none" w:color="FFFFFF" w:sz="0"/>
            </w:tcBorders>
            <w:shd w:fill="E7F4EC" w:val="clear"/>
            <w:tcMar>
              <w:top w:type="dxa" w:w="180"/>
              <w:left w:type="dxa" w:w="260"/>
              <w:bottom w:type="dxa" w:w="180"/>
              <w:right w:type="dxa" w:w="200"/>
            </w:tcMar>
          </w:tcPr>
          <w:p>
            <w:pPr>
              <w:spacing w:after="40" w:before="40" w:line="300"/>
            </w:pPr>
            <w:r>
              <w:rPr>
                <w:b/>
                <w:bCs/>
                <w:sz w:val="22"/>
                <w:szCs w:val="22"/>
              </w:rPr>
              <w:t xml:space="preserve">The takeaway. </w:t>
            </w:r>
            <w:r>
              <w:rPr>
                <w:sz w:val="22"/>
                <w:szCs w:val="22"/>
              </w:rPr>
              <w:t xml:space="preserve">Publishing existing application outputs as governed data products is not a one-shot transformation. It is the application team running a clear sequence of steps in which conformance is the connective tissue. The data contract is the assembled output of the work, not a separate authoring exercise.</w:t>
            </w:r>
          </w:p>
        </w:tc>
      </w:tr>
    </w:tbl>
    <w:p>
      <w:pPr>
        <w:pStyle w:val="Heading2"/>
        <w:spacing w:after="160" w:before="320"/>
      </w:pPr>
      <w:r>
        <w:rPr>
          <w:b/>
          <w:bCs/>
          <w:color w:val="2E5C8A"/>
          <w:sz w:val="28"/>
          <w:szCs w:val="28"/>
        </w:rPr>
        <w:t xml:space="preserve">Related pages</w:t>
      </w:r>
    </w:p>
    <w:p>
      <w:pPr>
        <w:spacing w:after="40" w:before="40"/>
      </w:pPr>
      <w:r>
        <w:rPr>
          <w:sz w:val="22"/>
          <w:szCs w:val="22"/>
        </w:rPr>
        <w:t xml:space="preserve">🛠 </w:t>
      </w:r>
      <w:r>
        <w:rPr>
          <w:i/>
          <w:iCs/>
          <w:color w:val="2E5C8A"/>
          <w:sz w:val="22"/>
          <w:szCs w:val="22"/>
        </w:rPr>
        <w:t xml:space="preserve">[Tool link to attach in Confluence: Data Modelling for Risk (parent page)]</w:t>
      </w:r>
    </w:p>
    <w:p>
      <w:pPr>
        <w:spacing w:after="40" w:before="40"/>
      </w:pPr>
      <w:r>
        <w:rPr>
          <w:sz w:val="22"/>
          <w:szCs w:val="22"/>
        </w:rPr>
        <w:t xml:space="preserve">🛠 </w:t>
      </w:r>
      <w:r>
        <w:rPr>
          <w:i/>
          <w:iCs/>
          <w:color w:val="2E5C8A"/>
          <w:sz w:val="22"/>
          <w:szCs w:val="22"/>
        </w:rPr>
        <w:t xml:space="preserve">[Tool link to attach in Confluence: Conformance — the longer view]</w:t>
      </w:r>
    </w:p>
    <w:p>
      <w:pPr>
        <w:spacing w:after="40" w:before="40"/>
      </w:pPr>
      <w:r>
        <w:rPr>
          <w:sz w:val="22"/>
          <w:szCs w:val="22"/>
        </w:rPr>
        <w:t xml:space="preserve">🛠 </w:t>
      </w:r>
      <w:r>
        <w:rPr>
          <w:i/>
          <w:iCs/>
          <w:color w:val="2E5C8A"/>
          <w:sz w:val="22"/>
          <w:szCs w:val="22"/>
        </w:rPr>
        <w:t xml:space="preserve">[Tool link to attach in Confluence: From query-based to model-based consumption]</w:t>
      </w:r>
    </w:p>
    <w:p>
      <w:pPr>
        <w:spacing w:after="40" w:before="40"/>
      </w:pPr>
      <w:r>
        <w:rPr>
          <w:sz w:val="22"/>
          <w:szCs w:val="22"/>
        </w:rPr>
        <w:t xml:space="preserve">🛠 </w:t>
      </w:r>
      <w:r>
        <w:rPr>
          <w:i/>
          <w:iCs/>
          <w:color w:val="2E5C8A"/>
          <w:sz w:val="22"/>
          <w:szCs w:val="22"/>
        </w:rPr>
        <w:t xml:space="preserve">[Tool link to attach in Confluence: A working strategy for starting]</w:t>
      </w:r>
    </w:p>
    <w:p>
      <w:pPr>
        <w:spacing w:after="40" w:before="40"/>
      </w:pPr>
      <w:r>
        <w:rPr>
          <w:sz w:val="22"/>
          <w:szCs w:val="22"/>
        </w:rPr>
        <w:t xml:space="preserve">🛠 </w:t>
      </w:r>
      <w:r>
        <w:rPr>
          <w:i/>
          <w:iCs/>
          <w:color w:val="2E5C8A"/>
          <w:sz w:val="22"/>
          <w:szCs w:val="22"/>
        </w:rPr>
        <w:t xml:space="preserve">[Tool link to attach in Confluence: Worked example — Collateral]</w:t>
      </w:r>
    </w:p>
    <w:p>
      <w:pPr>
        <w:spacing w:after="40" w:before="40"/>
      </w:pPr>
      <w:r>
        <w:rPr>
          <w:sz w:val="22"/>
          <w:szCs w:val="22"/>
        </w:rPr>
        <w:t xml:space="preserve">🛠 </w:t>
      </w:r>
      <w:r>
        <w:rPr>
          <w:i/>
          <w:iCs/>
          <w:color w:val="2E5C8A"/>
          <w:sz w:val="22"/>
          <w:szCs w:val="22"/>
        </w:rPr>
        <w:t xml:space="preserve">[Tool link to attach in Confluence: Worked example — Credit Curves]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2026-05-23T12:35:46.230Z</dcterms:created>
  <dcterms:modified xsi:type="dcterms:W3CDTF">2026-05-23T12:35:46.230Z</dcterms:modified>
</cp:coreProperties>
</file>

<file path=docProps/custom.xml><?xml version="1.0" encoding="utf-8"?>
<Properties xmlns="http://schemas.openxmlformats.org/officeDocument/2006/custom-properties" xmlns:vt="http://schemas.openxmlformats.org/officeDocument/2006/docPropsVTypes"/>
</file>