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0"/>
      </w:pPr>
      <w:r>
        <w:rPr>
          <w:b/>
          <w:bCs/>
          <w:color w:val="2E5C8A"/>
          <w:sz w:val="44"/>
          <w:szCs w:val="44"/>
        </w:rPr>
        <w:t xml:space="preserve">Worked example — Collateral</w:t>
      </w:r>
    </w:p>
    <w:p>
      <w:pPr>
        <w:spacing w:after="120" w:before="0"/>
      </w:pPr>
      <w:r>
        <w:rPr>
          <w:i/>
          <w:iCs/>
          <w:color w:val="5B6B7D"/>
          <w:sz w:val="24"/>
          <w:szCs w:val="24"/>
        </w:rPr>
        <w:t xml:space="preserve">Sub-page of Data Modelling for Risk — the collateral domain modelled end-to-end: logical model, star schema, OBT alternative, and what each one teaches</w:t>
      </w:r>
    </w:p>
    <w:p>
      <w:pPr>
        <w:pBdr>
          <w:bottom w:val="single" w:color="2E5C8A" w:sz="12" w:space="1"/>
        </w:pBdr>
        <w:spacing w:after="240" w:before="0"/>
      </w:pPr>
      <w:r>
        <w:t xml:space="preserve"/>
      </w:r>
    </w:p>
    <w:p>
      <w:pPr>
        <w:spacing w:after="80" w:before="80" w:line="300"/>
      </w:pPr>
      <w:r>
        <w:rPr>
          <w:sz w:val="22"/>
          <w:szCs w:val="22"/>
        </w:rPr>
        <w:t xml:space="preserve">This sub-page takes the collateral domain and runs it through the modelling progression set out across this section. The same content appears in the main page as a running example to illustrate concepts; this page goes deeper and builds the actual artefacts — the full domain model, the full star schema, and (for contrast) what happens when the same content is collapsed into a one-big-table representation.</w:t>
      </w:r>
    </w:p>
    <w:p>
      <w:pPr>
        <w:spacing w:after="80" w:before="80" w:line="300"/>
      </w:pPr>
      <w:r>
        <w:rPr>
          <w:sz w:val="22"/>
          <w:szCs w:val="22"/>
        </w:rPr>
        <w:t xml:space="preserve">The purpose is to show the modelling work as something concrete, with attributes, relationships, and grain decisions visible. A reader leaves the page knowing what the artefacts actually look like, not just what they're called.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5C8A" w:sz="24"/>
              <w:bottom w:val="none" w:color="FFFFFF" w:sz="0"/>
              <w:right w:val="none" w:color="FFFFFF" w:sz="0"/>
            </w:tcBorders>
            <w:shd w:fill="EAF1F8" w:val="clear"/>
            <w:tcMar>
              <w:top w:type="dxa" w:w="180"/>
              <w:left w:type="dxa" w:w="260"/>
              <w:bottom w:type="dxa" w:w="180"/>
              <w:right w:type="dxa" w:w="200"/>
            </w:tcMar>
          </w:tcPr>
          <w:p>
            <w:pPr>
              <w:spacing w:after="40" w:before="40" w:line="300"/>
            </w:pPr>
            <w:r>
              <w:rPr>
                <w:b/>
                <w:bCs/>
                <w:sz w:val="22"/>
                <w:szCs w:val="22"/>
              </w:rPr>
              <w:t xml:space="preserve">What this page covers: </w:t>
            </w:r>
            <w:r>
              <w:rPr>
                <w:sz w:val="22"/>
                <w:szCs w:val="22"/>
              </w:rPr>
              <w:t xml:space="preserve">the logical domain model for collateral with its supertype/subtype structure, the analytical star schema with multiple facts and conformed dimensions, the OBT alternative and the problems it creates, and a brief conformance note on how the three views relate.</w:t>
            </w:r>
          </w:p>
        </w:tc>
      </w:tr>
    </w:tbl>
    <w:p>
      <w:pPr>
        <w:pStyle w:val="Heading2"/>
        <w:spacing w:after="160" w:before="320"/>
      </w:pPr>
      <w:r>
        <w:rPr>
          <w:b/>
          <w:bCs/>
          <w:color w:val="2E5C8A"/>
          <w:sz w:val="28"/>
          <w:szCs w:val="28"/>
        </w:rPr>
        <w:t xml:space="preserve">The logical domain model</w:t>
      </w:r>
    </w:p>
    <w:p>
      <w:pPr>
        <w:spacing w:after="80" w:before="80" w:line="300"/>
      </w:pPr>
      <w:r>
        <w:rPr>
          <w:sz w:val="22"/>
          <w:szCs w:val="22"/>
        </w:rPr>
        <w:t xml:space="preserve">The collateral domain has several distinct logical entities, each with its own identity and lifecycle. The model below captures them as they appear in the CMOS data and as they need to be represented for downstream consumption.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9772A" w:sz="8"/>
              <w:left w:val="single" w:color="B9772A" w:sz="8"/>
              <w:bottom w:val="single" w:color="B9772A" w:sz="8"/>
              <w:right w:val="single" w:color="B9772A" w:sz="8"/>
            </w:tcBorders>
            <w:shd w:fill="FFF6E0" w:val="clear"/>
            <w:tcMar>
              <w:top w:type="dxa" w:w="200"/>
              <w:left w:type="dxa" w:w="240"/>
              <w:bottom w:type="dxa" w:w="200"/>
              <w:right w:type="dxa" w:w="240"/>
            </w:tcMar>
          </w:tcPr>
          <w:p>
            <w:pPr>
              <w:spacing w:after="80" w:before="40"/>
            </w:pPr>
            <w:r>
              <w:rPr>
                <w:b/>
                <w:bCs/>
                <w:color w:val="B9772A"/>
                <w:sz w:val="22"/>
                <w:szCs w:val="22"/>
              </w:rPr>
              <w:t xml:space="preserve">[ IMAGE — Logical domain model — collateral entities and relationships ]</w:t>
            </w:r>
          </w:p>
          <w:p>
            <w:pPr>
              <w:spacing w:after="40" w:before="40"/>
            </w:pPr>
            <w:r>
              <w:rPr>
                <w:i/>
                <w:iCs/>
                <w:color w:val="5B6B7D"/>
                <w:sz w:val="20"/>
                <w:szCs w:val="20"/>
              </w:rPr>
              <w:t xml:space="preserve">Source: HTML reference doc — Figure 1 (canonical entities) and Figure 4a (supertype/subtype for collateral types)</w:t>
            </w:r>
          </w:p>
          <w:p>
            <w:pPr>
              <w:spacing w:after="40" w:before="40"/>
            </w:pPr>
            <w:r>
              <w:rPr>
                <w:color w:val="5B6B7D"/>
                <w:sz w:val="20"/>
                <w:szCs w:val="20"/>
              </w:rPr>
              <w:t xml:space="preserve">Two complementary views: (1) the broader collateral domain with Counterparty, Agreement, Trade, Margin Call, Asset Holding, Asset Movement, Dispute as the canonical entities; (2) the supertype/subtype structure for the Collateral Position entity itself, with Cash / Bond / Equity sub-types.</w:t>
            </w:r>
          </w:p>
        </w:tc>
      </w:tr>
    </w:tbl>
    <w:p>
      <w:pPr>
        <w:pStyle w:val="Heading3"/>
        <w:spacing w:after="100" w:before="240"/>
      </w:pPr>
      <w:r>
        <w:rPr>
          <w:b/>
          <w:bCs/>
          <w:color w:val="1E2A38"/>
          <w:sz w:val="24"/>
          <w:szCs w:val="24"/>
        </w:rPr>
        <w:t xml:space="preserve">The entities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4"/>
              <w:left w:val="single" w:color="CCCCCC" w:sz="4"/>
              <w:bottom w:val="single" w:color="CCCCCC" w:sz="4"/>
              <w:right w:val="single" w:color="CCCCCC" w:sz="4"/>
            </w:tcBorders>
            <w:shd w:fill="2E5C8A" w:val="clear"/>
            <w:tcMar>
              <w:top w:type="dxa" w:w="100"/>
              <w:left w:type="dxa" w:w="150"/>
              <w:bottom w:type="dxa" w:w="100"/>
              <w:right w:type="dxa" w:w="150"/>
            </w:tcMar>
          </w:tcPr>
          <w:p>
            <w:r>
              <w:rPr>
                <w:b/>
                <w:bCs/>
                <w:color w:val="FFFFFF"/>
                <w:sz w:val="22"/>
                <w:szCs w:val="22"/>
              </w:rPr>
              <w:t xml:space="preserve">Entity</w:t>
            </w:r>
          </w:p>
        </w:tc>
        <w:tc>
          <w:tcPr>
            <w:tcW w:type="dxa" w:w="3580"/>
            <w:tcBorders>
              <w:top w:val="single" w:color="CCCCCC" w:sz="4"/>
              <w:left w:val="single" w:color="CCCCCC" w:sz="4"/>
              <w:bottom w:val="single" w:color="CCCCCC" w:sz="4"/>
              <w:right w:val="single" w:color="CCCCCC" w:sz="4"/>
            </w:tcBorders>
            <w:shd w:fill="2E5C8A" w:val="clear"/>
            <w:tcMar>
              <w:top w:type="dxa" w:w="100"/>
              <w:left w:type="dxa" w:w="150"/>
              <w:bottom w:type="dxa" w:w="100"/>
              <w:right w:type="dxa" w:w="150"/>
            </w:tcMar>
          </w:tcPr>
          <w:p>
            <w:r>
              <w:rPr>
                <w:b/>
                <w:bCs/>
                <w:color w:val="FFFFFF"/>
                <w:sz w:val="22"/>
                <w:szCs w:val="22"/>
              </w:rPr>
              <w:t xml:space="preserve">What it represents</w:t>
            </w:r>
          </w:p>
        </w:tc>
        <w:tc>
          <w:tcPr>
            <w:tcW w:type="dxa" w:w="3580"/>
            <w:tcBorders>
              <w:top w:val="single" w:color="CCCCCC" w:sz="4"/>
              <w:left w:val="single" w:color="CCCCCC" w:sz="4"/>
              <w:bottom w:val="single" w:color="CCCCCC" w:sz="4"/>
              <w:right w:val="single" w:color="CCCCCC" w:sz="4"/>
            </w:tcBorders>
            <w:shd w:fill="2E5C8A" w:val="clear"/>
            <w:tcMar>
              <w:top w:type="dxa" w:w="100"/>
              <w:left w:type="dxa" w:w="150"/>
              <w:bottom w:type="dxa" w:w="100"/>
              <w:right w:type="dxa" w:w="150"/>
            </w:tcMar>
          </w:tcPr>
          <w:p>
            <w:r>
              <w:rPr>
                <w:b/>
                <w:bCs/>
                <w:color w:val="FFFFFF"/>
                <w:sz w:val="22"/>
                <w:szCs w:val="22"/>
              </w:rPr>
              <w:t xml:space="preserve">Key attributes</w:t>
            </w:r>
          </w:p>
        </w:tc>
      </w:tr>
      <w:tr>
        <w:tc>
          <w:tcPr>
            <w:tcW w:type="dxa" w:w="2200"/>
            <w:tcBorders>
              <w:top w:val="single" w:color="CCCCCC" w:sz="4"/>
              <w:left w:val="single" w:color="CCCCCC" w:sz="4"/>
              <w:bottom w:val="single" w:color="CCCCCC" w:sz="4"/>
              <w:right w:val="single" w:color="CCCCCC" w:sz="4"/>
            </w:tcBorders>
            <w:shd w:fill="F2F5F8" w:val="clear"/>
            <w:tcMar>
              <w:top w:type="dxa" w:w="100"/>
              <w:left w:type="dxa" w:w="150"/>
              <w:bottom w:type="dxa" w:w="100"/>
              <w:right w:type="dxa" w:w="150"/>
            </w:tcMar>
          </w:tcPr>
          <w:p>
            <w:pPr>
              <w:spacing w:after="30" w:before="30" w:line="280"/>
            </w:pPr>
            <w:r>
              <w:rPr>
                <w:sz w:val="22"/>
                <w:szCs w:val="22"/>
              </w:rPr>
              <w:t xml:space="preserve">Counterparty</w:t>
            </w:r>
          </w:p>
        </w:tc>
        <w:tc>
          <w:tcPr>
            <w:tcW w:type="dxa" w:w="3580"/>
            <w:tcBorders>
              <w:top w:val="single" w:color="CCCCCC" w:sz="4"/>
              <w:left w:val="single" w:color="CCCCCC" w:sz="4"/>
              <w:bottom w:val="single" w:color="CCCCCC" w:sz="4"/>
              <w:right w:val="single" w:color="CCCCCC" w:sz="4"/>
            </w:tcBorders>
            <w:shd w:fill="F2F5F8" w:val="clear"/>
            <w:tcMar>
              <w:top w:type="dxa" w:w="100"/>
              <w:left w:type="dxa" w:w="150"/>
              <w:bottom w:type="dxa" w:w="100"/>
              <w:right w:type="dxa" w:w="150"/>
            </w:tcMar>
          </w:tcPr>
          <w:p>
            <w:pPr>
              <w:spacing w:after="30" w:before="30" w:line="280"/>
            </w:pPr>
            <w:r>
              <w:rPr>
                <w:sz w:val="22"/>
                <w:szCs w:val="22"/>
              </w:rPr>
              <w:t xml:space="preserve">The legal entity TD trades with under one or more agreements</w:t>
            </w:r>
          </w:p>
        </w:tc>
        <w:tc>
          <w:tcPr>
            <w:tcW w:type="dxa" w:w="3580"/>
            <w:tcBorders>
              <w:top w:val="single" w:color="CCCCCC" w:sz="4"/>
              <w:left w:val="single" w:color="CCCCCC" w:sz="4"/>
              <w:bottom w:val="single" w:color="CCCCCC" w:sz="4"/>
              <w:right w:val="single" w:color="CCCCCC" w:sz="4"/>
            </w:tcBorders>
            <w:shd w:fill="F2F5F8" w:val="clear"/>
            <w:tcMar>
              <w:top w:type="dxa" w:w="100"/>
              <w:left w:type="dxa" w:w="150"/>
              <w:bottom w:type="dxa" w:w="100"/>
              <w:right w:type="dxa" w:w="150"/>
            </w:tcMar>
          </w:tcPr>
          <w:p>
            <w:pPr>
              <w:spacing w:after="30" w:before="30" w:line="280"/>
            </w:pPr>
            <w:r>
              <w:rPr>
                <w:sz w:val="22"/>
                <w:szCs w:val="22"/>
              </w:rPr>
              <w:t xml:space="preserve">counterparty_id, lei, name, ultimate_parent_lei, sector, rating</w:t>
            </w:r>
          </w:p>
        </w:tc>
      </w:tr>
      <w:tr>
        <w:tc>
          <w:tcPr>
            <w:tcW w:type="dxa" w:w="22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pPr>
              <w:spacing w:after="30" w:before="30" w:line="280"/>
            </w:pPr>
            <w:r>
              <w:rPr>
                <w:sz w:val="22"/>
                <w:szCs w:val="22"/>
              </w:rPr>
              <w:t xml:space="preserve">Agreement (CSA)</w:t>
            </w:r>
          </w:p>
        </w:tc>
        <w:tc>
          <w:tcPr>
            <w:tcW w:type="dxa" w:w="358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pPr>
              <w:spacing w:after="30" w:before="30" w:line="280"/>
            </w:pPr>
            <w:r>
              <w:rPr>
                <w:sz w:val="22"/>
                <w:szCs w:val="22"/>
              </w:rPr>
              <w:t xml:space="preserve">A Credit Support Annex governing collateral exchange between TD and a counterparty</w:t>
            </w:r>
          </w:p>
        </w:tc>
        <w:tc>
          <w:tcPr>
            <w:tcW w:type="dxa" w:w="358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pPr>
              <w:spacing w:after="30" w:before="30" w:line="280"/>
            </w:pPr>
            <w:r>
              <w:rPr>
                <w:sz w:val="22"/>
                <w:szCs w:val="22"/>
              </w:rPr>
              <w:t xml:space="preserve">agreement_id, agreement_type (REG_IMC, REG_VM, etc.), counterparty_id, terms (threshold, MTA), governing law</w:t>
            </w:r>
          </w:p>
        </w:tc>
      </w:tr>
      <w:tr>
        <w:tc>
          <w:tcPr>
            <w:tcW w:type="dxa" w:w="2200"/>
            <w:tcBorders>
              <w:top w:val="single" w:color="CCCCCC" w:sz="4"/>
              <w:left w:val="single" w:color="CCCCCC" w:sz="4"/>
              <w:bottom w:val="single" w:color="CCCCCC" w:sz="4"/>
              <w:right w:val="single" w:color="CCCCCC" w:sz="4"/>
            </w:tcBorders>
            <w:shd w:fill="F2F5F8" w:val="clear"/>
            <w:tcMar>
              <w:top w:type="dxa" w:w="100"/>
              <w:left w:type="dxa" w:w="150"/>
              <w:bottom w:type="dxa" w:w="100"/>
              <w:right w:type="dxa" w:w="150"/>
            </w:tcMar>
          </w:tcPr>
          <w:p>
            <w:pPr>
              <w:spacing w:after="30" w:before="30" w:line="280"/>
            </w:pPr>
            <w:r>
              <w:rPr>
                <w:sz w:val="22"/>
                <w:szCs w:val="22"/>
              </w:rPr>
              <w:t xml:space="preserve">Trade</w:t>
            </w:r>
          </w:p>
        </w:tc>
        <w:tc>
          <w:tcPr>
            <w:tcW w:type="dxa" w:w="3580"/>
            <w:tcBorders>
              <w:top w:val="single" w:color="CCCCCC" w:sz="4"/>
              <w:left w:val="single" w:color="CCCCCC" w:sz="4"/>
              <w:bottom w:val="single" w:color="CCCCCC" w:sz="4"/>
              <w:right w:val="single" w:color="CCCCCC" w:sz="4"/>
            </w:tcBorders>
            <w:shd w:fill="F2F5F8" w:val="clear"/>
            <w:tcMar>
              <w:top w:type="dxa" w:w="100"/>
              <w:left w:type="dxa" w:w="150"/>
              <w:bottom w:type="dxa" w:w="100"/>
              <w:right w:type="dxa" w:w="150"/>
            </w:tcMar>
          </w:tcPr>
          <w:p>
            <w:pPr>
              <w:spacing w:after="30" w:before="30" w:line="280"/>
            </w:pPr>
            <w:r>
              <w:rPr>
                <w:sz w:val="22"/>
                <w:szCs w:val="22"/>
              </w:rPr>
              <w:t xml:space="preserve">An individual derivative trade under an agreement</w:t>
            </w:r>
          </w:p>
        </w:tc>
        <w:tc>
          <w:tcPr>
            <w:tcW w:type="dxa" w:w="3580"/>
            <w:tcBorders>
              <w:top w:val="single" w:color="CCCCCC" w:sz="4"/>
              <w:left w:val="single" w:color="CCCCCC" w:sz="4"/>
              <w:bottom w:val="single" w:color="CCCCCC" w:sz="4"/>
              <w:right w:val="single" w:color="CCCCCC" w:sz="4"/>
            </w:tcBorders>
            <w:shd w:fill="F2F5F8" w:val="clear"/>
            <w:tcMar>
              <w:top w:type="dxa" w:w="100"/>
              <w:left w:type="dxa" w:w="150"/>
              <w:bottom w:type="dxa" w:w="100"/>
              <w:right w:type="dxa" w:w="150"/>
            </w:tcMar>
          </w:tcPr>
          <w:p>
            <w:pPr>
              <w:spacing w:after="30" w:before="30" w:line="280"/>
            </w:pPr>
            <w:r>
              <w:rPr>
                <w:sz w:val="22"/>
                <w:szCs w:val="22"/>
              </w:rPr>
              <w:t xml:space="preserve">trade_id, source_system, agreement_id, product_type, notional, currency, effective_date, maturity_date, pv</w:t>
            </w:r>
          </w:p>
        </w:tc>
      </w:tr>
      <w:tr>
        <w:tc>
          <w:tcPr>
            <w:tcW w:type="dxa" w:w="22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pPr>
              <w:spacing w:after="30" w:before="30" w:line="280"/>
            </w:pPr>
            <w:r>
              <w:rPr>
                <w:sz w:val="22"/>
                <w:szCs w:val="22"/>
              </w:rPr>
              <w:t xml:space="preserve">Exposure Summary</w:t>
            </w:r>
          </w:p>
        </w:tc>
        <w:tc>
          <w:tcPr>
            <w:tcW w:type="dxa" w:w="358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pPr>
              <w:spacing w:after="30" w:before="30" w:line="280"/>
            </w:pPr>
            <w:r>
              <w:rPr>
                <w:sz w:val="22"/>
                <w:szCs w:val="22"/>
              </w:rPr>
              <w:t xml:space="preserve">Roll-up of exposure at the agreement level, point-in-time</w:t>
            </w:r>
          </w:p>
        </w:tc>
        <w:tc>
          <w:tcPr>
            <w:tcW w:type="dxa" w:w="358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pPr>
              <w:spacing w:after="30" w:before="30" w:line="280"/>
            </w:pPr>
            <w:r>
              <w:rPr>
                <w:sz w:val="22"/>
                <w:szCs w:val="22"/>
              </w:rPr>
              <w:t xml:space="preserve">agreement_id, as_of_date, im_total_exposure, vm_total_exposure, currency</w:t>
            </w:r>
          </w:p>
        </w:tc>
      </w:tr>
      <w:tr>
        <w:tc>
          <w:tcPr>
            <w:tcW w:type="dxa" w:w="2200"/>
            <w:tcBorders>
              <w:top w:val="single" w:color="CCCCCC" w:sz="4"/>
              <w:left w:val="single" w:color="CCCCCC" w:sz="4"/>
              <w:bottom w:val="single" w:color="CCCCCC" w:sz="4"/>
              <w:right w:val="single" w:color="CCCCCC" w:sz="4"/>
            </w:tcBorders>
            <w:shd w:fill="F2F5F8" w:val="clear"/>
            <w:tcMar>
              <w:top w:type="dxa" w:w="100"/>
              <w:left w:type="dxa" w:w="150"/>
              <w:bottom w:type="dxa" w:w="100"/>
              <w:right w:type="dxa" w:w="150"/>
            </w:tcMar>
          </w:tcPr>
          <w:p>
            <w:pPr>
              <w:spacing w:after="30" w:before="30" w:line="280"/>
            </w:pPr>
            <w:r>
              <w:rPr>
                <w:sz w:val="22"/>
                <w:szCs w:val="22"/>
              </w:rPr>
              <w:t xml:space="preserve">Margin Call</w:t>
            </w:r>
          </w:p>
        </w:tc>
        <w:tc>
          <w:tcPr>
            <w:tcW w:type="dxa" w:w="3580"/>
            <w:tcBorders>
              <w:top w:val="single" w:color="CCCCCC" w:sz="4"/>
              <w:left w:val="single" w:color="CCCCCC" w:sz="4"/>
              <w:bottom w:val="single" w:color="CCCCCC" w:sz="4"/>
              <w:right w:val="single" w:color="CCCCCC" w:sz="4"/>
            </w:tcBorders>
            <w:shd w:fill="F2F5F8" w:val="clear"/>
            <w:tcMar>
              <w:top w:type="dxa" w:w="100"/>
              <w:left w:type="dxa" w:w="150"/>
              <w:bottom w:type="dxa" w:w="100"/>
              <w:right w:type="dxa" w:w="150"/>
            </w:tcMar>
          </w:tcPr>
          <w:p>
            <w:pPr>
              <w:spacing w:after="30" w:before="30" w:line="280"/>
            </w:pPr>
            <w:r>
              <w:rPr>
                <w:sz w:val="22"/>
                <w:szCs w:val="22"/>
              </w:rPr>
              <w:t xml:space="preserve">An outstanding or settled call for additional collateral</w:t>
            </w:r>
          </w:p>
        </w:tc>
        <w:tc>
          <w:tcPr>
            <w:tcW w:type="dxa" w:w="3580"/>
            <w:tcBorders>
              <w:top w:val="single" w:color="CCCCCC" w:sz="4"/>
              <w:left w:val="single" w:color="CCCCCC" w:sz="4"/>
              <w:bottom w:val="single" w:color="CCCCCC" w:sz="4"/>
              <w:right w:val="single" w:color="CCCCCC" w:sz="4"/>
            </w:tcBorders>
            <w:shd w:fill="F2F5F8" w:val="clear"/>
            <w:tcMar>
              <w:top w:type="dxa" w:w="100"/>
              <w:left w:type="dxa" w:w="150"/>
              <w:bottom w:type="dxa" w:w="100"/>
              <w:right w:type="dxa" w:w="150"/>
            </w:tcMar>
          </w:tcPr>
          <w:p>
            <w:pPr>
              <w:spacing w:after="30" w:before="30" w:line="280"/>
            </w:pPr>
            <w:r>
              <w:rPr>
                <w:sz w:val="22"/>
                <w:szCs w:val="22"/>
              </w:rPr>
              <w:t xml:space="preserve">call_id, agreement_id, margin_type (IM | VM), direction (Call | Return), amount, currency, status</w:t>
            </w:r>
          </w:p>
        </w:tc>
      </w:tr>
      <w:tr>
        <w:tc>
          <w:tcPr>
            <w:tcW w:type="dxa" w:w="22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pPr>
              <w:spacing w:after="30" w:before="30" w:line="280"/>
            </w:pPr>
            <w:r>
              <w:rPr>
                <w:sz w:val="22"/>
                <w:szCs w:val="22"/>
              </w:rPr>
              <w:t xml:space="preserve">Collateral Position</w:t>
            </w:r>
          </w:p>
        </w:tc>
        <w:tc>
          <w:tcPr>
            <w:tcW w:type="dxa" w:w="358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pPr>
              <w:spacing w:after="30" w:before="30" w:line="280"/>
            </w:pPr>
            <w:r>
              <w:rPr>
                <w:sz w:val="22"/>
                <w:szCs w:val="22"/>
              </w:rPr>
              <w:t xml:space="preserve">Currently held collateral, of various types</w:t>
            </w:r>
          </w:p>
        </w:tc>
        <w:tc>
          <w:tcPr>
            <w:tcW w:type="dxa" w:w="358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pPr>
              <w:spacing w:after="30" w:before="30" w:line="280"/>
            </w:pPr>
            <w:r>
              <w:rPr>
                <w:sz w:val="22"/>
                <w:szCs w:val="22"/>
              </w:rPr>
              <w:t xml:space="preserve">collateral_id, collateral_type, posting_party_id, csa_id, market_value, haircut_pct, collateral_value, valuation_date, position_type (IM | VM)</w:t>
            </w:r>
          </w:p>
        </w:tc>
      </w:tr>
      <w:tr>
        <w:tc>
          <w:tcPr>
            <w:tcW w:type="dxa" w:w="2200"/>
            <w:tcBorders>
              <w:top w:val="single" w:color="CCCCCC" w:sz="4"/>
              <w:left w:val="single" w:color="CCCCCC" w:sz="4"/>
              <w:bottom w:val="single" w:color="CCCCCC" w:sz="4"/>
              <w:right w:val="single" w:color="CCCCCC" w:sz="4"/>
            </w:tcBorders>
            <w:shd w:fill="F2F5F8" w:val="clear"/>
            <w:tcMar>
              <w:top w:type="dxa" w:w="100"/>
              <w:left w:type="dxa" w:w="150"/>
              <w:bottom w:type="dxa" w:w="100"/>
              <w:right w:type="dxa" w:w="150"/>
            </w:tcMar>
          </w:tcPr>
          <w:p>
            <w:pPr>
              <w:spacing w:after="30" w:before="30" w:line="280"/>
            </w:pPr>
            <w:r>
              <w:rPr>
                <w:sz w:val="22"/>
                <w:szCs w:val="22"/>
              </w:rPr>
              <w:t xml:space="preserve">Asset Movement</w:t>
            </w:r>
          </w:p>
        </w:tc>
        <w:tc>
          <w:tcPr>
            <w:tcW w:type="dxa" w:w="3580"/>
            <w:tcBorders>
              <w:top w:val="single" w:color="CCCCCC" w:sz="4"/>
              <w:left w:val="single" w:color="CCCCCC" w:sz="4"/>
              <w:bottom w:val="single" w:color="CCCCCC" w:sz="4"/>
              <w:right w:val="single" w:color="CCCCCC" w:sz="4"/>
            </w:tcBorders>
            <w:shd w:fill="F2F5F8" w:val="clear"/>
            <w:tcMar>
              <w:top w:type="dxa" w:w="100"/>
              <w:left w:type="dxa" w:w="150"/>
              <w:bottom w:type="dxa" w:w="100"/>
              <w:right w:type="dxa" w:w="150"/>
            </w:tcMar>
          </w:tcPr>
          <w:p>
            <w:pPr>
              <w:spacing w:after="30" w:before="30" w:line="280"/>
            </w:pPr>
            <w:r>
              <w:rPr>
                <w:sz w:val="22"/>
                <w:szCs w:val="22"/>
              </w:rPr>
              <w:t xml:space="preserve">In-flight or settled collateral movements</w:t>
            </w:r>
          </w:p>
        </w:tc>
        <w:tc>
          <w:tcPr>
            <w:tcW w:type="dxa" w:w="3580"/>
            <w:tcBorders>
              <w:top w:val="single" w:color="CCCCCC" w:sz="4"/>
              <w:left w:val="single" w:color="CCCCCC" w:sz="4"/>
              <w:bottom w:val="single" w:color="CCCCCC" w:sz="4"/>
              <w:right w:val="single" w:color="CCCCCC" w:sz="4"/>
            </w:tcBorders>
            <w:shd w:fill="F2F5F8" w:val="clear"/>
            <w:tcMar>
              <w:top w:type="dxa" w:w="100"/>
              <w:left w:type="dxa" w:w="150"/>
              <w:bottom w:type="dxa" w:w="100"/>
              <w:right w:type="dxa" w:w="150"/>
            </w:tcMar>
          </w:tcPr>
          <w:p>
            <w:pPr>
              <w:spacing w:after="30" w:before="30" w:line="280"/>
            </w:pPr>
            <w:r>
              <w:rPr>
                <w:sz w:val="22"/>
                <w:szCs w:val="22"/>
              </w:rPr>
              <w:t xml:space="preserve">movement_id, movement_type (Call | Delivery), agreement_id, asset_id, amount, settlement_date, status</w:t>
            </w:r>
          </w:p>
        </w:tc>
      </w:tr>
      <w:tr>
        <w:tc>
          <w:tcPr>
            <w:tcW w:type="dxa" w:w="22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pPr>
              <w:spacing w:after="30" w:before="30" w:line="280"/>
            </w:pPr>
            <w:r>
              <w:rPr>
                <w:sz w:val="22"/>
                <w:szCs w:val="22"/>
              </w:rPr>
              <w:t xml:space="preserve">Dispute</w:t>
            </w:r>
          </w:p>
        </w:tc>
        <w:tc>
          <w:tcPr>
            <w:tcW w:type="dxa" w:w="358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pPr>
              <w:spacing w:after="30" w:before="30" w:line="280"/>
            </w:pPr>
            <w:r>
              <w:rPr>
                <w:sz w:val="22"/>
                <w:szCs w:val="22"/>
              </w:rPr>
              <w:t xml:space="preserve">An open or resolved dispute on a margin call</w:t>
            </w:r>
          </w:p>
        </w:tc>
        <w:tc>
          <w:tcPr>
            <w:tcW w:type="dxa" w:w="358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pPr>
              <w:spacing w:after="30" w:before="30" w:line="280"/>
            </w:pPr>
            <w:r>
              <w:rPr>
                <w:sz w:val="22"/>
                <w:szCs w:val="22"/>
              </w:rPr>
              <w:t xml:space="preserve">dispute_id, call_id, raised_date, resolved_date, status, disputed_amount</w:t>
            </w:r>
          </w:p>
        </w:tc>
      </w:tr>
    </w:tbl>
    <w:p>
      <w:pPr>
        <w:pStyle w:val="Heading3"/>
        <w:spacing w:after="100" w:before="240"/>
      </w:pPr>
      <w:r>
        <w:rPr>
          <w:b/>
          <w:bCs/>
          <w:color w:val="1E2A38"/>
          <w:sz w:val="24"/>
          <w:szCs w:val="24"/>
        </w:rPr>
        <w:t xml:space="preserve">The supertype/subtype structure for Collateral Position</w:t>
      </w:r>
    </w:p>
    <w:p>
      <w:pPr>
        <w:spacing w:after="80" w:before="80" w:line="300"/>
      </w:pPr>
      <w:r>
        <w:rPr>
          <w:sz w:val="22"/>
          <w:szCs w:val="22"/>
        </w:rPr>
        <w:t xml:space="preserve">Collateral Position is structurally heterogeneous — cash collateral, bond collateral, and equity collateral all serve the same role but carry different attributes. The logical model represents this with a supertype/subtype relationship:</w:t>
      </w:r>
    </w:p>
    <w:p>
      <w:pPr>
        <w:pStyle w:val="ListParagraph"/>
        <w:numPr>
          <w:ilvl w:val="0"/>
          <w:numId w:val="2"/>
        </w:numPr>
        <w:spacing w:after="40" w:before="40" w:line="280"/>
      </w:pPr>
      <w:r>
        <w:rPr>
          <w:b/>
          <w:bCs/>
          <w:sz w:val="22"/>
          <w:szCs w:val="22"/>
        </w:rPr>
        <w:t xml:space="preserve">Collateral Position (supertype) — </w:t>
      </w:r>
      <w:r>
        <w:rPr>
          <w:sz w:val="22"/>
          <w:szCs w:val="22"/>
        </w:rPr>
        <w:t xml:space="preserve">carries the attributes every collateral position has, regardless of type: identifier, type code, posting party, agreement, value, haircut, valuation date, position type (IM | VM).</w:t>
      </w:r>
    </w:p>
    <w:p>
      <w:pPr>
        <w:pStyle w:val="ListParagraph"/>
        <w:numPr>
          <w:ilvl w:val="0"/>
          <w:numId w:val="2"/>
        </w:numPr>
        <w:spacing w:after="40" w:before="40" w:line="280"/>
      </w:pPr>
      <w:r>
        <w:rPr>
          <w:b/>
          <w:bCs/>
          <w:sz w:val="22"/>
          <w:szCs w:val="22"/>
        </w:rPr>
        <w:t xml:space="preserve">Cash Collateral (sub-type) — </w:t>
      </w:r>
      <w:r>
        <w:rPr>
          <w:sz w:val="22"/>
          <w:szCs w:val="22"/>
        </w:rPr>
        <w:t xml:space="preserve">no sub-type-specific attributes. The supertype carries everything cash actually has. This is a deliberate modelling choice: do not model what does not exist.</w:t>
      </w:r>
    </w:p>
    <w:p>
      <w:pPr>
        <w:pStyle w:val="ListParagraph"/>
        <w:numPr>
          <w:ilvl w:val="0"/>
          <w:numId w:val="2"/>
        </w:numPr>
        <w:spacing w:after="40" w:before="40" w:line="280"/>
      </w:pPr>
      <w:r>
        <w:rPr>
          <w:b/>
          <w:bCs/>
          <w:sz w:val="22"/>
          <w:szCs w:val="22"/>
        </w:rPr>
        <w:t xml:space="preserve">Bond Collateral (sub-type) — </w:t>
      </w:r>
      <w:r>
        <w:rPr>
          <w:sz w:val="22"/>
          <w:szCs w:val="22"/>
        </w:rPr>
        <w:t xml:space="preserve">cusip, isin, issuer_party_id, maturity_date, coupon_rate, rating, debt_tier (senior unsec | sub), bond_sub_type (sovereign | corporate).</w:t>
      </w:r>
    </w:p>
    <w:p>
      <w:pPr>
        <w:pStyle w:val="ListParagraph"/>
        <w:numPr>
          <w:ilvl w:val="0"/>
          <w:numId w:val="2"/>
        </w:numPr>
        <w:spacing w:after="40" w:before="40" w:line="280"/>
      </w:pPr>
      <w:r>
        <w:rPr>
          <w:b/>
          <w:bCs/>
          <w:sz w:val="22"/>
          <w:szCs w:val="22"/>
        </w:rPr>
        <w:t xml:space="preserve">Equity Collateral (sub-type) — </w:t>
      </w:r>
      <w:r>
        <w:rPr>
          <w:sz w:val="22"/>
          <w:szCs w:val="22"/>
        </w:rPr>
        <w:t xml:space="preserve">cusip, isin, issuer_party_id, exchange, price_source, market_price, quantity.</w:t>
      </w:r>
    </w:p>
    <w:p>
      <w:pPr>
        <w:spacing w:after="80" w:before="80" w:line="300"/>
      </w:pPr>
      <w:r>
        <w:rPr>
          <w:sz w:val="22"/>
          <w:szCs w:val="22"/>
        </w:rPr>
        <w:t xml:space="preserve">The relationship is mutually exclusive (disjoint): a given Collateral Position is exactly one of the three sub-types. The conformance discussion of this pattern — and the choice between snowflake and denormalised physical implementations — is covered in detail in the Conformance sub-page.</w:t>
      </w:r>
    </w:p>
    <w:p>
      <w:pPr>
        <w:spacing w:after="40" w:before="40"/>
      </w:pPr>
      <w:r>
        <w:rPr>
          <w:sz w:val="22"/>
          <w:szCs w:val="22"/>
        </w:rPr>
        <w:t xml:space="preserve">🛠 </w:t>
      </w:r>
      <w:r>
        <w:rPr>
          <w:i/>
          <w:iCs/>
          <w:color w:val="2E5C8A"/>
          <w:sz w:val="22"/>
          <w:szCs w:val="22"/>
        </w:rPr>
        <w:t xml:space="preserve">[Tool link to attach in Confluence: Conformance — the longer view (for the snowflake vs denormalised physical options)]</w:t>
      </w:r>
    </w:p>
    <w:p>
      <w:pPr>
        <w:pStyle w:val="Heading3"/>
        <w:spacing w:after="100" w:before="240"/>
      </w:pPr>
      <w:r>
        <w:rPr>
          <w:b/>
          <w:bCs/>
          <w:color w:val="1E2A38"/>
          <w:sz w:val="24"/>
          <w:szCs w:val="24"/>
        </w:rPr>
        <w:t xml:space="preserve">What the domain model gives you</w:t>
      </w:r>
    </w:p>
    <w:p>
      <w:pPr>
        <w:pStyle w:val="ListParagraph"/>
        <w:numPr>
          <w:ilvl w:val="0"/>
          <w:numId w:val="2"/>
        </w:numPr>
        <w:spacing w:after="40" w:before="40" w:line="280"/>
      </w:pPr>
      <w:r>
        <w:rPr>
          <w:sz w:val="22"/>
          <w:szCs w:val="22"/>
        </w:rPr>
        <w:t xml:space="preserve">Independence from any particular report or extract — the model describes what exists in the domain, not how any one file happens to render it.</w:t>
      </w:r>
    </w:p>
    <w:p>
      <w:pPr>
        <w:pStyle w:val="ListParagraph"/>
        <w:numPr>
          <w:ilvl w:val="0"/>
          <w:numId w:val="2"/>
        </w:numPr>
        <w:spacing w:after="40" w:before="40" w:line="280"/>
      </w:pPr>
      <w:r>
        <w:rPr>
          <w:sz w:val="22"/>
          <w:szCs w:val="22"/>
        </w:rPr>
        <w:t xml:space="preserve">Explicit relationships between entities — a Trade belongs to an Agreement, a Margin Call is raised under an Agreement, an Asset Movement settles a Margin Call. These connections live in the model, not in scattered query logic.</w:t>
      </w:r>
    </w:p>
    <w:p>
      <w:pPr>
        <w:pStyle w:val="ListParagraph"/>
        <w:numPr>
          <w:ilvl w:val="0"/>
          <w:numId w:val="2"/>
        </w:numPr>
        <w:spacing w:after="40" w:before="40" w:line="280"/>
      </w:pPr>
      <w:r>
        <w:rPr>
          <w:sz w:val="22"/>
          <w:szCs w:val="22"/>
        </w:rPr>
        <w:t xml:space="preserve">Type-safe modelling of heterogeneous collateral — the supertype/subtype structure captures that all three forms (Cash, Bond, Equity) are instances of Collateral Position without forcing them into one wide shape.</w:t>
      </w:r>
    </w:p>
    <w:p>
      <w:pPr>
        <w:pStyle w:val="ListParagraph"/>
        <w:numPr>
          <w:ilvl w:val="0"/>
          <w:numId w:val="2"/>
        </w:numPr>
        <w:spacing w:after="40" w:before="40" w:line="280"/>
      </w:pPr>
      <w:r>
        <w:rPr>
          <w:sz w:val="22"/>
          <w:szCs w:val="22"/>
        </w:rPr>
        <w:t xml:space="preserve">A reference that PowerDesigner / Erwin can express directly, and that conforms to or feeds the enterprise canonical data model.</w:t>
      </w:r>
    </w:p>
    <w:p>
      <w:pPr>
        <w:pStyle w:val="Heading2"/>
        <w:spacing w:after="160" w:before="320"/>
      </w:pPr>
      <w:r>
        <w:rPr>
          <w:b/>
          <w:bCs/>
          <w:color w:val="2E5C8A"/>
          <w:sz w:val="28"/>
          <w:szCs w:val="28"/>
        </w:rPr>
        <w:t xml:space="preserve">The analytical star schema</w:t>
      </w:r>
    </w:p>
    <w:p>
      <w:pPr>
        <w:spacing w:after="80" w:before="80" w:line="300"/>
      </w:pPr>
      <w:r>
        <w:rPr>
          <w:sz w:val="22"/>
          <w:szCs w:val="22"/>
        </w:rPr>
        <w:t xml:space="preserve">The domain model describes what collateral data is. The star schema describes how consumers query it. Several distinct facts exist in this domain — exposure, margin call, settlement, dispute — and they share the same conformed dimensions, which is what makes cross-fact analysis safe.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9772A" w:sz="8"/>
              <w:left w:val="single" w:color="B9772A" w:sz="8"/>
              <w:bottom w:val="single" w:color="B9772A" w:sz="8"/>
              <w:right w:val="single" w:color="B9772A" w:sz="8"/>
            </w:tcBorders>
            <w:shd w:fill="FFF6E0" w:val="clear"/>
            <w:tcMar>
              <w:top w:type="dxa" w:w="200"/>
              <w:left w:type="dxa" w:w="240"/>
              <w:bottom w:type="dxa" w:w="200"/>
              <w:right w:type="dxa" w:w="240"/>
            </w:tcMar>
          </w:tcPr>
          <w:p>
            <w:pPr>
              <w:spacing w:after="80" w:before="40"/>
            </w:pPr>
            <w:r>
              <w:rPr>
                <w:b/>
                <w:bCs/>
                <w:color w:val="B9772A"/>
                <w:sz w:val="22"/>
                <w:szCs w:val="22"/>
              </w:rPr>
              <w:t xml:space="preserve">[ IMAGE — Star schema — multiple facts sharing conformed dimensions ]</w:t>
            </w:r>
          </w:p>
          <w:p>
            <w:pPr>
              <w:spacing w:after="40" w:before="40"/>
            </w:pPr>
            <w:r>
              <w:rPr>
                <w:i/>
                <w:iCs/>
                <w:color w:val="5B6B7D"/>
                <w:sz w:val="20"/>
                <w:szCs w:val="20"/>
              </w:rPr>
              <w:t xml:space="preserve">Source: HTML reference doc — Figure 2b</w:t>
            </w:r>
          </w:p>
          <w:p>
            <w:pPr>
              <w:spacing w:after="40" w:before="40"/>
            </w:pPr>
            <w:r>
              <w:rPr>
                <w:color w:val="5B6B7D"/>
                <w:sz w:val="20"/>
                <w:szCs w:val="20"/>
              </w:rPr>
              <w:t xml:space="preserve">Four conformed dimensions across the top (dim_counterparty, dim_agreement, dim_date, dim_currency) and four facts below (fact_exposure_daily, fact_margin_call, fact_settlement, fact_dispute), with reuse lines showing each dimension referenced by each fact.</w:t>
            </w:r>
          </w:p>
        </w:tc>
      </w:tr>
    </w:tbl>
    <w:p>
      <w:pPr>
        <w:pStyle w:val="Heading3"/>
        <w:spacing w:after="100" w:before="240"/>
      </w:pPr>
      <w:r>
        <w:rPr>
          <w:b/>
          <w:bCs/>
          <w:color w:val="1E2A38"/>
          <w:sz w:val="24"/>
          <w:szCs w:val="24"/>
        </w:rPr>
        <w:t xml:space="preserve">The facts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CCCCCC" w:sz="4"/>
              <w:left w:val="single" w:color="CCCCCC" w:sz="4"/>
              <w:bottom w:val="single" w:color="CCCCCC" w:sz="4"/>
              <w:right w:val="single" w:color="CCCCCC" w:sz="4"/>
            </w:tcBorders>
            <w:shd w:fill="2E5C8A" w:val="clear"/>
            <w:tcMar>
              <w:top w:type="dxa" w:w="100"/>
              <w:left w:type="dxa" w:w="150"/>
              <w:bottom w:type="dxa" w:w="100"/>
              <w:right w:type="dxa" w:w="150"/>
            </w:tcMar>
          </w:tcPr>
          <w:p>
            <w:r>
              <w:rPr>
                <w:b/>
                <w:bCs/>
                <w:color w:val="FFFFFF"/>
                <w:sz w:val="22"/>
                <w:szCs w:val="22"/>
              </w:rPr>
              <w:t xml:space="preserve">Fact table</w:t>
            </w:r>
          </w:p>
        </w:tc>
        <w:tc>
          <w:tcPr>
            <w:tcW w:type="dxa" w:w="3000"/>
            <w:tcBorders>
              <w:top w:val="single" w:color="CCCCCC" w:sz="4"/>
              <w:left w:val="single" w:color="CCCCCC" w:sz="4"/>
              <w:bottom w:val="single" w:color="CCCCCC" w:sz="4"/>
              <w:right w:val="single" w:color="CCCCCC" w:sz="4"/>
            </w:tcBorders>
            <w:shd w:fill="2E5C8A" w:val="clear"/>
            <w:tcMar>
              <w:top w:type="dxa" w:w="100"/>
              <w:left w:type="dxa" w:w="150"/>
              <w:bottom w:type="dxa" w:w="100"/>
              <w:right w:type="dxa" w:w="150"/>
            </w:tcMar>
          </w:tcPr>
          <w:p>
            <w:r>
              <w:rPr>
                <w:b/>
                <w:bCs/>
                <w:color w:val="FFFFFF"/>
                <w:sz w:val="22"/>
                <w:szCs w:val="22"/>
              </w:rPr>
              <w:t xml:space="preserve">Grain</w:t>
            </w:r>
          </w:p>
        </w:tc>
        <w:tc>
          <w:tcPr>
            <w:tcW w:type="dxa" w:w="3360"/>
            <w:tcBorders>
              <w:top w:val="single" w:color="CCCCCC" w:sz="4"/>
              <w:left w:val="single" w:color="CCCCCC" w:sz="4"/>
              <w:bottom w:val="single" w:color="CCCCCC" w:sz="4"/>
              <w:right w:val="single" w:color="CCCCCC" w:sz="4"/>
            </w:tcBorders>
            <w:shd w:fill="2E5C8A" w:val="clear"/>
            <w:tcMar>
              <w:top w:type="dxa" w:w="100"/>
              <w:left w:type="dxa" w:w="150"/>
              <w:bottom w:type="dxa" w:w="100"/>
              <w:right w:type="dxa" w:w="150"/>
            </w:tcMar>
          </w:tcPr>
          <w:p>
            <w:r>
              <w:rPr>
                <w:b/>
                <w:bCs/>
                <w:color w:val="FFFFFF"/>
                <w:sz w:val="22"/>
                <w:szCs w:val="22"/>
              </w:rPr>
              <w:t xml:space="preserve">Measures</w:t>
            </w:r>
          </w:p>
        </w:tc>
      </w:tr>
      <w:tr>
        <w:tc>
          <w:tcPr>
            <w:tcW w:type="dxa" w:w="3000"/>
            <w:tcBorders>
              <w:top w:val="single" w:color="CCCCCC" w:sz="4"/>
              <w:left w:val="single" w:color="CCCCCC" w:sz="4"/>
              <w:bottom w:val="single" w:color="CCCCCC" w:sz="4"/>
              <w:right w:val="single" w:color="CCCCCC" w:sz="4"/>
            </w:tcBorders>
            <w:shd w:fill="F2F5F8" w:val="clear"/>
            <w:tcMar>
              <w:top w:type="dxa" w:w="100"/>
              <w:left w:type="dxa" w:w="150"/>
              <w:bottom w:type="dxa" w:w="100"/>
              <w:right w:type="dxa" w:w="150"/>
            </w:tcMar>
          </w:tcPr>
          <w:p>
            <w:pPr>
              <w:spacing w:after="30" w:before="30" w:line="280"/>
            </w:pPr>
            <w:r>
              <w:rPr>
                <w:sz w:val="22"/>
                <w:szCs w:val="22"/>
              </w:rPr>
              <w:t xml:space="preserve">fact_exposure_daily</w:t>
            </w:r>
          </w:p>
        </w:tc>
        <w:tc>
          <w:tcPr>
            <w:tcW w:type="dxa" w:w="3000"/>
            <w:tcBorders>
              <w:top w:val="single" w:color="CCCCCC" w:sz="4"/>
              <w:left w:val="single" w:color="CCCCCC" w:sz="4"/>
              <w:bottom w:val="single" w:color="CCCCCC" w:sz="4"/>
              <w:right w:val="single" w:color="CCCCCC" w:sz="4"/>
            </w:tcBorders>
            <w:shd w:fill="F2F5F8" w:val="clear"/>
            <w:tcMar>
              <w:top w:type="dxa" w:w="100"/>
              <w:left w:type="dxa" w:w="150"/>
              <w:bottom w:type="dxa" w:w="100"/>
              <w:right w:type="dxa" w:w="150"/>
            </w:tcMar>
          </w:tcPr>
          <w:p>
            <w:pPr>
              <w:spacing w:after="30" w:before="30" w:line="280"/>
            </w:pPr>
            <w:r>
              <w:rPr>
                <w:sz w:val="22"/>
                <w:szCs w:val="22"/>
              </w:rPr>
              <w:t xml:space="preserve">Counterparty × agreement × date</w:t>
            </w:r>
          </w:p>
        </w:tc>
        <w:tc>
          <w:tcPr>
            <w:tcW w:type="dxa" w:w="3360"/>
            <w:tcBorders>
              <w:top w:val="single" w:color="CCCCCC" w:sz="4"/>
              <w:left w:val="single" w:color="CCCCCC" w:sz="4"/>
              <w:bottom w:val="single" w:color="CCCCCC" w:sz="4"/>
              <w:right w:val="single" w:color="CCCCCC" w:sz="4"/>
            </w:tcBorders>
            <w:shd w:fill="F2F5F8" w:val="clear"/>
            <w:tcMar>
              <w:top w:type="dxa" w:w="100"/>
              <w:left w:type="dxa" w:w="150"/>
              <w:bottom w:type="dxa" w:w="100"/>
              <w:right w:type="dxa" w:w="150"/>
            </w:tcMar>
          </w:tcPr>
          <w:p>
            <w:pPr>
              <w:spacing w:after="30" w:before="30" w:line="280"/>
            </w:pPr>
            <w:r>
              <w:rPr>
                <w:sz w:val="22"/>
                <w:szCs w:val="22"/>
              </w:rPr>
              <w:t xml:space="preserve">exposure_amount, pfe, ead, im_exposure, vm_exposure</w:t>
            </w:r>
          </w:p>
        </w:tc>
      </w:tr>
      <w:tr>
        <w:tc>
          <w:tcPr>
            <w:tcW w:type="dxa" w:w="30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pPr>
              <w:spacing w:after="30" w:before="30" w:line="280"/>
            </w:pPr>
            <w:r>
              <w:rPr>
                <w:sz w:val="22"/>
                <w:szCs w:val="22"/>
              </w:rPr>
              <w:t xml:space="preserve">fact_margin_call</w:t>
            </w:r>
          </w:p>
        </w:tc>
        <w:tc>
          <w:tcPr>
            <w:tcW w:type="dxa" w:w="30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pPr>
              <w:spacing w:after="30" w:before="30" w:line="280"/>
            </w:pPr>
            <w:r>
              <w:rPr>
                <w:sz w:val="22"/>
                <w:szCs w:val="22"/>
              </w:rPr>
              <w:t xml:space="preserve">Per call event</w:t>
            </w:r>
          </w:p>
        </w:tc>
        <w:tc>
          <w:tcPr>
            <w:tcW w:type="dxa" w:w="336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pPr>
              <w:spacing w:after="30" w:before="30" w:line="280"/>
            </w:pPr>
            <w:r>
              <w:rPr>
                <w:sz w:val="22"/>
                <w:szCs w:val="22"/>
              </w:rPr>
              <w:t xml:space="preserve">call_amount, settled_amount, days_to_settle</w:t>
            </w:r>
          </w:p>
        </w:tc>
      </w:tr>
      <w:tr>
        <w:tc>
          <w:tcPr>
            <w:tcW w:type="dxa" w:w="3000"/>
            <w:tcBorders>
              <w:top w:val="single" w:color="CCCCCC" w:sz="4"/>
              <w:left w:val="single" w:color="CCCCCC" w:sz="4"/>
              <w:bottom w:val="single" w:color="CCCCCC" w:sz="4"/>
              <w:right w:val="single" w:color="CCCCCC" w:sz="4"/>
            </w:tcBorders>
            <w:shd w:fill="F2F5F8" w:val="clear"/>
            <w:tcMar>
              <w:top w:type="dxa" w:w="100"/>
              <w:left w:type="dxa" w:w="150"/>
              <w:bottom w:type="dxa" w:w="100"/>
              <w:right w:type="dxa" w:w="150"/>
            </w:tcMar>
          </w:tcPr>
          <w:p>
            <w:pPr>
              <w:spacing w:after="30" w:before="30" w:line="280"/>
            </w:pPr>
            <w:r>
              <w:rPr>
                <w:sz w:val="22"/>
                <w:szCs w:val="22"/>
              </w:rPr>
              <w:t xml:space="preserve">fact_settlement</w:t>
            </w:r>
          </w:p>
        </w:tc>
        <w:tc>
          <w:tcPr>
            <w:tcW w:type="dxa" w:w="3000"/>
            <w:tcBorders>
              <w:top w:val="single" w:color="CCCCCC" w:sz="4"/>
              <w:left w:val="single" w:color="CCCCCC" w:sz="4"/>
              <w:bottom w:val="single" w:color="CCCCCC" w:sz="4"/>
              <w:right w:val="single" w:color="CCCCCC" w:sz="4"/>
            </w:tcBorders>
            <w:shd w:fill="F2F5F8" w:val="clear"/>
            <w:tcMar>
              <w:top w:type="dxa" w:w="100"/>
              <w:left w:type="dxa" w:w="150"/>
              <w:bottom w:type="dxa" w:w="100"/>
              <w:right w:type="dxa" w:w="150"/>
            </w:tcMar>
          </w:tcPr>
          <w:p>
            <w:pPr>
              <w:spacing w:after="30" w:before="30" w:line="280"/>
            </w:pPr>
            <w:r>
              <w:rPr>
                <w:sz w:val="22"/>
                <w:szCs w:val="22"/>
              </w:rPr>
              <w:t xml:space="preserve">Per settlement event</w:t>
            </w:r>
          </w:p>
        </w:tc>
        <w:tc>
          <w:tcPr>
            <w:tcW w:type="dxa" w:w="3360"/>
            <w:tcBorders>
              <w:top w:val="single" w:color="CCCCCC" w:sz="4"/>
              <w:left w:val="single" w:color="CCCCCC" w:sz="4"/>
              <w:bottom w:val="single" w:color="CCCCCC" w:sz="4"/>
              <w:right w:val="single" w:color="CCCCCC" w:sz="4"/>
            </w:tcBorders>
            <w:shd w:fill="F2F5F8" w:val="clear"/>
            <w:tcMar>
              <w:top w:type="dxa" w:w="100"/>
              <w:left w:type="dxa" w:w="150"/>
              <w:bottom w:type="dxa" w:w="100"/>
              <w:right w:type="dxa" w:w="150"/>
            </w:tcMar>
          </w:tcPr>
          <w:p>
            <w:pPr>
              <w:spacing w:after="30" w:before="30" w:line="280"/>
            </w:pPr>
            <w:r>
              <w:rPr>
                <w:sz w:val="22"/>
                <w:szCs w:val="22"/>
              </w:rPr>
              <w:t xml:space="preserve">settled_amount, settle_lag_days</w:t>
            </w:r>
          </w:p>
        </w:tc>
      </w:tr>
      <w:tr>
        <w:tc>
          <w:tcPr>
            <w:tcW w:type="dxa" w:w="30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pPr>
              <w:spacing w:after="30" w:before="30" w:line="280"/>
            </w:pPr>
            <w:r>
              <w:rPr>
                <w:sz w:val="22"/>
                <w:szCs w:val="22"/>
              </w:rPr>
              <w:t xml:space="preserve">fact_dispute</w:t>
            </w:r>
          </w:p>
        </w:tc>
        <w:tc>
          <w:tcPr>
            <w:tcW w:type="dxa" w:w="30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pPr>
              <w:spacing w:after="30" w:before="30" w:line="280"/>
            </w:pPr>
            <w:r>
              <w:rPr>
                <w:sz w:val="22"/>
                <w:szCs w:val="22"/>
              </w:rPr>
              <w:t xml:space="preserve">Per dispute event</w:t>
            </w:r>
          </w:p>
        </w:tc>
        <w:tc>
          <w:tcPr>
            <w:tcW w:type="dxa" w:w="336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pPr>
              <w:spacing w:after="30" w:before="30" w:line="280"/>
            </w:pPr>
            <w:r>
              <w:rPr>
                <w:sz w:val="22"/>
                <w:szCs w:val="22"/>
              </w:rPr>
              <w:t xml:space="preserve">disputed_amount, days_open</w:t>
            </w:r>
          </w:p>
        </w:tc>
      </w:tr>
      <w:tr>
        <w:tc>
          <w:tcPr>
            <w:tcW w:type="dxa" w:w="3000"/>
            <w:tcBorders>
              <w:top w:val="single" w:color="CCCCCC" w:sz="4"/>
              <w:left w:val="single" w:color="CCCCCC" w:sz="4"/>
              <w:bottom w:val="single" w:color="CCCCCC" w:sz="4"/>
              <w:right w:val="single" w:color="CCCCCC" w:sz="4"/>
            </w:tcBorders>
            <w:shd w:fill="F2F5F8" w:val="clear"/>
            <w:tcMar>
              <w:top w:type="dxa" w:w="100"/>
              <w:left w:type="dxa" w:w="150"/>
              <w:bottom w:type="dxa" w:w="100"/>
              <w:right w:type="dxa" w:w="150"/>
            </w:tcMar>
          </w:tcPr>
          <w:p>
            <w:pPr>
              <w:spacing w:after="30" w:before="30" w:line="280"/>
            </w:pPr>
            <w:r>
              <w:rPr>
                <w:sz w:val="22"/>
                <w:szCs w:val="22"/>
              </w:rPr>
              <w:t xml:space="preserve">fact_collateral_position</w:t>
            </w:r>
          </w:p>
        </w:tc>
        <w:tc>
          <w:tcPr>
            <w:tcW w:type="dxa" w:w="3000"/>
            <w:tcBorders>
              <w:top w:val="single" w:color="CCCCCC" w:sz="4"/>
              <w:left w:val="single" w:color="CCCCCC" w:sz="4"/>
              <w:bottom w:val="single" w:color="CCCCCC" w:sz="4"/>
              <w:right w:val="single" w:color="CCCCCC" w:sz="4"/>
            </w:tcBorders>
            <w:shd w:fill="F2F5F8" w:val="clear"/>
            <w:tcMar>
              <w:top w:type="dxa" w:w="100"/>
              <w:left w:type="dxa" w:w="150"/>
              <w:bottom w:type="dxa" w:w="100"/>
              <w:right w:type="dxa" w:w="150"/>
            </w:tcMar>
          </w:tcPr>
          <w:p>
            <w:pPr>
              <w:spacing w:after="30" w:before="30" w:line="280"/>
            </w:pPr>
            <w:r>
              <w:rPr>
                <w:sz w:val="22"/>
                <w:szCs w:val="22"/>
              </w:rPr>
              <w:t xml:space="preserve">Counterparty × agreement × valuation date × position type</w:t>
            </w:r>
          </w:p>
        </w:tc>
        <w:tc>
          <w:tcPr>
            <w:tcW w:type="dxa" w:w="3360"/>
            <w:tcBorders>
              <w:top w:val="single" w:color="CCCCCC" w:sz="4"/>
              <w:left w:val="single" w:color="CCCCCC" w:sz="4"/>
              <w:bottom w:val="single" w:color="CCCCCC" w:sz="4"/>
              <w:right w:val="single" w:color="CCCCCC" w:sz="4"/>
            </w:tcBorders>
            <w:shd w:fill="F2F5F8" w:val="clear"/>
            <w:tcMar>
              <w:top w:type="dxa" w:w="100"/>
              <w:left w:type="dxa" w:w="150"/>
              <w:bottom w:type="dxa" w:w="100"/>
              <w:right w:type="dxa" w:w="150"/>
            </w:tcMar>
          </w:tcPr>
          <w:p>
            <w:pPr>
              <w:spacing w:after="30" w:before="30" w:line="280"/>
            </w:pPr>
            <w:r>
              <w:rPr>
                <w:sz w:val="22"/>
                <w:szCs w:val="22"/>
              </w:rPr>
              <w:t xml:space="preserve">market_value, haircut_pct, collateral_value</w:t>
            </w:r>
          </w:p>
        </w:tc>
      </w:tr>
    </w:tbl>
    <w:p>
      <w:pPr>
        <w:spacing w:after="80" w:before="80" w:line="300"/>
      </w:pPr>
      <w:r>
        <w:rPr>
          <w:sz w:val="22"/>
          <w:szCs w:val="22"/>
        </w:rPr>
        <w:t xml:space="preserve">Each fact sits at its own grain — events at the level of the event, daily snapshots at the level of the day. The grain declaration is the most important attribute of each fact: it determines what aggregations are valid and what "one row" means.</w:t>
      </w:r>
    </w:p>
    <w:p>
      <w:pPr>
        <w:pStyle w:val="Heading3"/>
        <w:spacing w:after="100" w:before="240"/>
      </w:pPr>
      <w:r>
        <w:rPr>
          <w:b/>
          <w:bCs/>
          <w:color w:val="1E2A38"/>
          <w:sz w:val="24"/>
          <w:szCs w:val="24"/>
        </w:rPr>
        <w:t xml:space="preserve">The conformed dimensions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500"/>
        <w:gridCol w:w="3460"/>
      </w:tblGrid>
      <w:tr>
        <w:tc>
          <w:tcPr>
            <w:tcW w:type="dxa" w:w="2400"/>
            <w:tcBorders>
              <w:top w:val="single" w:color="CCCCCC" w:sz="4"/>
              <w:left w:val="single" w:color="CCCCCC" w:sz="4"/>
              <w:bottom w:val="single" w:color="CCCCCC" w:sz="4"/>
              <w:right w:val="single" w:color="CCCCCC" w:sz="4"/>
            </w:tcBorders>
            <w:shd w:fill="2E5C8A" w:val="clear"/>
            <w:tcMar>
              <w:top w:type="dxa" w:w="100"/>
              <w:left w:type="dxa" w:w="150"/>
              <w:bottom w:type="dxa" w:w="100"/>
              <w:right w:type="dxa" w:w="150"/>
            </w:tcMar>
          </w:tcPr>
          <w:p>
            <w:r>
              <w:rPr>
                <w:b/>
                <w:bCs/>
                <w:color w:val="FFFFFF"/>
                <w:sz w:val="22"/>
                <w:szCs w:val="22"/>
              </w:rPr>
              <w:t xml:space="preserve">Dimension</w:t>
            </w:r>
          </w:p>
        </w:tc>
        <w:tc>
          <w:tcPr>
            <w:tcW w:type="dxa" w:w="3500"/>
            <w:tcBorders>
              <w:top w:val="single" w:color="CCCCCC" w:sz="4"/>
              <w:left w:val="single" w:color="CCCCCC" w:sz="4"/>
              <w:bottom w:val="single" w:color="CCCCCC" w:sz="4"/>
              <w:right w:val="single" w:color="CCCCCC" w:sz="4"/>
            </w:tcBorders>
            <w:shd w:fill="2E5C8A" w:val="clear"/>
            <w:tcMar>
              <w:top w:type="dxa" w:w="100"/>
              <w:left w:type="dxa" w:w="150"/>
              <w:bottom w:type="dxa" w:w="100"/>
              <w:right w:type="dxa" w:w="150"/>
            </w:tcMar>
          </w:tcPr>
          <w:p>
            <w:r>
              <w:rPr>
                <w:b/>
                <w:bCs/>
                <w:color w:val="FFFFFF"/>
                <w:sz w:val="22"/>
                <w:szCs w:val="22"/>
              </w:rPr>
              <w:t xml:space="preserve">What it carries</w:t>
            </w:r>
          </w:p>
        </w:tc>
        <w:tc>
          <w:tcPr>
            <w:tcW w:type="dxa" w:w="3460"/>
            <w:tcBorders>
              <w:top w:val="single" w:color="CCCCCC" w:sz="4"/>
              <w:left w:val="single" w:color="CCCCCC" w:sz="4"/>
              <w:bottom w:val="single" w:color="CCCCCC" w:sz="4"/>
              <w:right w:val="single" w:color="CCCCCC" w:sz="4"/>
            </w:tcBorders>
            <w:shd w:fill="2E5C8A" w:val="clear"/>
            <w:tcMar>
              <w:top w:type="dxa" w:w="100"/>
              <w:left w:type="dxa" w:w="150"/>
              <w:bottom w:type="dxa" w:w="100"/>
              <w:right w:type="dxa" w:w="150"/>
            </w:tcMar>
          </w:tcPr>
          <w:p>
            <w:r>
              <w:rPr>
                <w:b/>
                <w:bCs/>
                <w:color w:val="FFFFFF"/>
                <w:sz w:val="22"/>
                <w:szCs w:val="22"/>
              </w:rPr>
              <w:t xml:space="preserve">Why conformed</w:t>
            </w:r>
          </w:p>
        </w:tc>
      </w:tr>
      <w:tr>
        <w:tc>
          <w:tcPr>
            <w:tcW w:type="dxa" w:w="2400"/>
            <w:tcBorders>
              <w:top w:val="single" w:color="CCCCCC" w:sz="4"/>
              <w:left w:val="single" w:color="CCCCCC" w:sz="4"/>
              <w:bottom w:val="single" w:color="CCCCCC" w:sz="4"/>
              <w:right w:val="single" w:color="CCCCCC" w:sz="4"/>
            </w:tcBorders>
            <w:shd w:fill="F2F5F8" w:val="clear"/>
            <w:tcMar>
              <w:top w:type="dxa" w:w="100"/>
              <w:left w:type="dxa" w:w="150"/>
              <w:bottom w:type="dxa" w:w="100"/>
              <w:right w:type="dxa" w:w="150"/>
            </w:tcMar>
          </w:tcPr>
          <w:p>
            <w:pPr>
              <w:spacing w:after="30" w:before="30" w:line="280"/>
            </w:pPr>
            <w:r>
              <w:rPr>
                <w:sz w:val="22"/>
                <w:szCs w:val="22"/>
              </w:rPr>
              <w:t xml:space="preserve">dim_counterparty</w:t>
            </w:r>
          </w:p>
        </w:tc>
        <w:tc>
          <w:tcPr>
            <w:tcW w:type="dxa" w:w="3500"/>
            <w:tcBorders>
              <w:top w:val="single" w:color="CCCCCC" w:sz="4"/>
              <w:left w:val="single" w:color="CCCCCC" w:sz="4"/>
              <w:bottom w:val="single" w:color="CCCCCC" w:sz="4"/>
              <w:right w:val="single" w:color="CCCCCC" w:sz="4"/>
            </w:tcBorders>
            <w:shd w:fill="F2F5F8" w:val="clear"/>
            <w:tcMar>
              <w:top w:type="dxa" w:w="100"/>
              <w:left w:type="dxa" w:w="150"/>
              <w:bottom w:type="dxa" w:w="100"/>
              <w:right w:type="dxa" w:w="150"/>
            </w:tcMar>
          </w:tcPr>
          <w:p>
            <w:pPr>
              <w:spacing w:after="30" w:before="30" w:line="280"/>
            </w:pPr>
            <w:r>
              <w:rPr>
                <w:sz w:val="22"/>
                <w:szCs w:val="22"/>
              </w:rPr>
              <w:t xml:space="preserve">counterparty_id, lei, name, parent_lei, sector, rating, region</w:t>
            </w:r>
          </w:p>
        </w:tc>
        <w:tc>
          <w:tcPr>
            <w:tcW w:type="dxa" w:w="3460"/>
            <w:tcBorders>
              <w:top w:val="single" w:color="CCCCCC" w:sz="4"/>
              <w:left w:val="single" w:color="CCCCCC" w:sz="4"/>
              <w:bottom w:val="single" w:color="CCCCCC" w:sz="4"/>
              <w:right w:val="single" w:color="CCCCCC" w:sz="4"/>
            </w:tcBorders>
            <w:shd w:fill="F2F5F8" w:val="clear"/>
            <w:tcMar>
              <w:top w:type="dxa" w:w="100"/>
              <w:left w:type="dxa" w:w="150"/>
              <w:bottom w:type="dxa" w:w="100"/>
              <w:right w:type="dxa" w:w="150"/>
            </w:tcMar>
          </w:tcPr>
          <w:p>
            <w:pPr>
              <w:spacing w:after="30" w:before="30" w:line="280"/>
            </w:pPr>
            <w:r>
              <w:rPr>
                <w:sz w:val="22"/>
                <w:szCs w:val="22"/>
              </w:rPr>
              <w:t xml:space="preserve">Counterparty must mean the same thing across exposure, margin calls, settlements, and disputes — same identifier, same hierarchy, same attributes.</w:t>
            </w:r>
          </w:p>
        </w:tc>
      </w:tr>
      <w:tr>
        <w:tc>
          <w:tcPr>
            <w:tcW w:type="dxa" w:w="24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pPr>
              <w:spacing w:after="30" w:before="30" w:line="280"/>
            </w:pPr>
            <w:r>
              <w:rPr>
                <w:sz w:val="22"/>
                <w:szCs w:val="22"/>
              </w:rPr>
              <w:t xml:space="preserve">dim_agreement</w:t>
            </w:r>
          </w:p>
        </w:tc>
        <w:tc>
          <w:tcPr>
            <w:tcW w:type="dxa" w:w="35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pPr>
              <w:spacing w:after="30" w:before="30" w:line="280"/>
            </w:pPr>
            <w:r>
              <w:rPr>
                <w:sz w:val="22"/>
                <w:szCs w:val="22"/>
              </w:rPr>
              <w:t xml:space="preserve">agreement_id, agreement_type, counterparty_id, threshold, mta</w:t>
            </w:r>
          </w:p>
        </w:tc>
        <w:tc>
          <w:tcPr>
            <w:tcW w:type="dxa" w:w="346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pPr>
              <w:spacing w:after="30" w:before="30" w:line="280"/>
            </w:pPr>
            <w:r>
              <w:rPr>
                <w:sz w:val="22"/>
                <w:szCs w:val="22"/>
              </w:rPr>
              <w:t xml:space="preserve">Every fact references the agreement; the definition must be one shared object.</w:t>
            </w:r>
          </w:p>
        </w:tc>
      </w:tr>
      <w:tr>
        <w:tc>
          <w:tcPr>
            <w:tcW w:type="dxa" w:w="2400"/>
            <w:tcBorders>
              <w:top w:val="single" w:color="CCCCCC" w:sz="4"/>
              <w:left w:val="single" w:color="CCCCCC" w:sz="4"/>
              <w:bottom w:val="single" w:color="CCCCCC" w:sz="4"/>
              <w:right w:val="single" w:color="CCCCCC" w:sz="4"/>
            </w:tcBorders>
            <w:shd w:fill="F2F5F8" w:val="clear"/>
            <w:tcMar>
              <w:top w:type="dxa" w:w="100"/>
              <w:left w:type="dxa" w:w="150"/>
              <w:bottom w:type="dxa" w:w="100"/>
              <w:right w:type="dxa" w:w="150"/>
            </w:tcMar>
          </w:tcPr>
          <w:p>
            <w:pPr>
              <w:spacing w:after="30" w:before="30" w:line="280"/>
            </w:pPr>
            <w:r>
              <w:rPr>
                <w:sz w:val="22"/>
                <w:szCs w:val="22"/>
              </w:rPr>
              <w:t xml:space="preserve">dim_date</w:t>
            </w:r>
          </w:p>
        </w:tc>
        <w:tc>
          <w:tcPr>
            <w:tcW w:type="dxa" w:w="3500"/>
            <w:tcBorders>
              <w:top w:val="single" w:color="CCCCCC" w:sz="4"/>
              <w:left w:val="single" w:color="CCCCCC" w:sz="4"/>
              <w:bottom w:val="single" w:color="CCCCCC" w:sz="4"/>
              <w:right w:val="single" w:color="CCCCCC" w:sz="4"/>
            </w:tcBorders>
            <w:shd w:fill="F2F5F8" w:val="clear"/>
            <w:tcMar>
              <w:top w:type="dxa" w:w="100"/>
              <w:left w:type="dxa" w:w="150"/>
              <w:bottom w:type="dxa" w:w="100"/>
              <w:right w:type="dxa" w:w="150"/>
            </w:tcMar>
          </w:tcPr>
          <w:p>
            <w:pPr>
              <w:spacing w:after="30" w:before="30" w:line="280"/>
            </w:pPr>
            <w:r>
              <w:rPr>
                <w:sz w:val="22"/>
                <w:szCs w:val="22"/>
              </w:rPr>
              <w:t xml:space="preserve">as_of_date, year, quarter, month, business_day_flag</w:t>
            </w:r>
          </w:p>
        </w:tc>
        <w:tc>
          <w:tcPr>
            <w:tcW w:type="dxa" w:w="3460"/>
            <w:tcBorders>
              <w:top w:val="single" w:color="CCCCCC" w:sz="4"/>
              <w:left w:val="single" w:color="CCCCCC" w:sz="4"/>
              <w:bottom w:val="single" w:color="CCCCCC" w:sz="4"/>
              <w:right w:val="single" w:color="CCCCCC" w:sz="4"/>
            </w:tcBorders>
            <w:shd w:fill="F2F5F8" w:val="clear"/>
            <w:tcMar>
              <w:top w:type="dxa" w:w="100"/>
              <w:left w:type="dxa" w:w="150"/>
              <w:bottom w:type="dxa" w:w="100"/>
              <w:right w:type="dxa" w:w="150"/>
            </w:tcMar>
          </w:tcPr>
          <w:p>
            <w:pPr>
              <w:spacing w:after="30" w:before="30" w:line="280"/>
            </w:pPr>
            <w:r>
              <w:rPr>
                <w:sz w:val="22"/>
                <w:szCs w:val="22"/>
              </w:rPr>
              <w:t xml:space="preserve">Date semantics need to be uniform — what counts as a business day, what calendar applies.</w:t>
            </w:r>
          </w:p>
        </w:tc>
      </w:tr>
      <w:tr>
        <w:tc>
          <w:tcPr>
            <w:tcW w:type="dxa" w:w="24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pPr>
              <w:spacing w:after="30" w:before="30" w:line="280"/>
            </w:pPr>
            <w:r>
              <w:rPr>
                <w:sz w:val="22"/>
                <w:szCs w:val="22"/>
              </w:rPr>
              <w:t xml:space="preserve">dim_currency</w:t>
            </w:r>
          </w:p>
        </w:tc>
        <w:tc>
          <w:tcPr>
            <w:tcW w:type="dxa" w:w="35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pPr>
              <w:spacing w:after="30" w:before="30" w:line="280"/>
            </w:pPr>
            <w:r>
              <w:rPr>
                <w:sz w:val="22"/>
                <w:szCs w:val="22"/>
              </w:rPr>
              <w:t xml:space="preserve">currency_code, name, region</w:t>
            </w:r>
          </w:p>
        </w:tc>
        <w:tc>
          <w:tcPr>
            <w:tcW w:type="dxa" w:w="346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pPr>
              <w:spacing w:after="30" w:before="30" w:line="280"/>
            </w:pPr>
            <w:r>
              <w:rPr>
                <w:sz w:val="22"/>
                <w:szCs w:val="22"/>
              </w:rPr>
              <w:t xml:space="preserve">Currency joins to every monetary fact; ISO 4217 standard but the conformed dimension governs which TD-internal classifications attach.</w:t>
            </w:r>
          </w:p>
        </w:tc>
      </w:tr>
      <w:tr>
        <w:tc>
          <w:tcPr>
            <w:tcW w:type="dxa" w:w="2400"/>
            <w:tcBorders>
              <w:top w:val="single" w:color="CCCCCC" w:sz="4"/>
              <w:left w:val="single" w:color="CCCCCC" w:sz="4"/>
              <w:bottom w:val="single" w:color="CCCCCC" w:sz="4"/>
              <w:right w:val="single" w:color="CCCCCC" w:sz="4"/>
            </w:tcBorders>
            <w:shd w:fill="F2F5F8" w:val="clear"/>
            <w:tcMar>
              <w:top w:type="dxa" w:w="100"/>
              <w:left w:type="dxa" w:w="150"/>
              <w:bottom w:type="dxa" w:w="100"/>
              <w:right w:type="dxa" w:w="150"/>
            </w:tcMar>
          </w:tcPr>
          <w:p>
            <w:pPr>
              <w:spacing w:after="30" w:before="30" w:line="280"/>
            </w:pPr>
            <w:r>
              <w:rPr>
                <w:sz w:val="22"/>
                <w:szCs w:val="22"/>
              </w:rPr>
              <w:t xml:space="preserve">dim_collateral</w:t>
            </w:r>
          </w:p>
        </w:tc>
        <w:tc>
          <w:tcPr>
            <w:tcW w:type="dxa" w:w="3500"/>
            <w:tcBorders>
              <w:top w:val="single" w:color="CCCCCC" w:sz="4"/>
              <w:left w:val="single" w:color="CCCCCC" w:sz="4"/>
              <w:bottom w:val="single" w:color="CCCCCC" w:sz="4"/>
              <w:right w:val="single" w:color="CCCCCC" w:sz="4"/>
            </w:tcBorders>
            <w:shd w:fill="F2F5F8" w:val="clear"/>
            <w:tcMar>
              <w:top w:type="dxa" w:w="100"/>
              <w:left w:type="dxa" w:w="150"/>
              <w:bottom w:type="dxa" w:w="100"/>
              <w:right w:type="dxa" w:w="150"/>
            </w:tcMar>
          </w:tcPr>
          <w:p>
            <w:pPr>
              <w:spacing w:after="30" w:before="30" w:line="280"/>
            </w:pPr>
            <w:r>
              <w:rPr>
                <w:sz w:val="22"/>
                <w:szCs w:val="22"/>
              </w:rPr>
              <w:t xml:space="preserve">Supertype + sub-type structure as described above</w:t>
            </w:r>
          </w:p>
        </w:tc>
        <w:tc>
          <w:tcPr>
            <w:tcW w:type="dxa" w:w="3460"/>
            <w:tcBorders>
              <w:top w:val="single" w:color="CCCCCC" w:sz="4"/>
              <w:left w:val="single" w:color="CCCCCC" w:sz="4"/>
              <w:bottom w:val="single" w:color="CCCCCC" w:sz="4"/>
              <w:right w:val="single" w:color="CCCCCC" w:sz="4"/>
            </w:tcBorders>
            <w:shd w:fill="F2F5F8" w:val="clear"/>
            <w:tcMar>
              <w:top w:type="dxa" w:w="100"/>
              <w:left w:type="dxa" w:w="150"/>
              <w:bottom w:type="dxa" w:w="100"/>
              <w:right w:type="dxa" w:w="150"/>
            </w:tcMar>
          </w:tcPr>
          <w:p>
            <w:pPr>
              <w:spacing w:after="30" w:before="30" w:line="280"/>
            </w:pPr>
            <w:r>
              <w:rPr>
                <w:sz w:val="22"/>
                <w:szCs w:val="22"/>
              </w:rPr>
              <w:t xml:space="preserve">When fact_collateral_position joins to it, the cross-type query "all collateral by counterparty" works correctly.</w:t>
            </w:r>
          </w:p>
        </w:tc>
      </w:tr>
    </w:tbl>
    <w:p>
      <w:pPr>
        <w:pStyle w:val="Heading3"/>
        <w:spacing w:after="100" w:before="240"/>
      </w:pPr>
      <w:r>
        <w:rPr>
          <w:b/>
          <w:bCs/>
          <w:color w:val="1E2A38"/>
          <w:sz w:val="24"/>
          <w:szCs w:val="24"/>
        </w:rPr>
        <w:t xml:space="preserve">What the star schema gives you</w:t>
      </w:r>
    </w:p>
    <w:p>
      <w:pPr>
        <w:pStyle w:val="ListParagraph"/>
        <w:numPr>
          <w:ilvl w:val="0"/>
          <w:numId w:val="2"/>
        </w:numPr>
        <w:spacing w:after="40" w:before="40" w:line="280"/>
      </w:pPr>
      <w:r>
        <w:rPr>
          <w:sz w:val="22"/>
          <w:szCs w:val="22"/>
        </w:rPr>
        <w:t xml:space="preserve">Cross-fact analysis is safe — slicing exposure by counterparty rating and slicing margin calls by counterparty rating produce numbers that combine, because the rating comes from one governed source.</w:t>
      </w:r>
    </w:p>
    <w:p>
      <w:pPr>
        <w:pStyle w:val="ListParagraph"/>
        <w:numPr>
          <w:ilvl w:val="0"/>
          <w:numId w:val="2"/>
        </w:numPr>
        <w:spacing w:after="40" w:before="40" w:line="280"/>
      </w:pPr>
      <w:r>
        <w:rPr>
          <w:sz w:val="22"/>
          <w:szCs w:val="22"/>
        </w:rPr>
        <w:t xml:space="preserve">Adding a new fact (credit limits, breach events, collateral movements) does not require any new conformance work — it joins to the existing conformed dimensions and inherits their consistency.</w:t>
      </w:r>
    </w:p>
    <w:p>
      <w:pPr>
        <w:pStyle w:val="ListParagraph"/>
        <w:numPr>
          <w:ilvl w:val="0"/>
          <w:numId w:val="2"/>
        </w:numPr>
        <w:spacing w:after="40" w:before="40" w:line="280"/>
      </w:pPr>
      <w:r>
        <w:rPr>
          <w:sz w:val="22"/>
          <w:szCs w:val="22"/>
        </w:rPr>
        <w:t xml:space="preserve">Consumers query through the semantic layer (Metric Views) against the star schema, getting governed aggregation rules and drill paths without writing the joins themselves.</w:t>
      </w:r>
    </w:p>
    <w:p>
      <w:pPr>
        <w:pStyle w:val="ListParagraph"/>
        <w:numPr>
          <w:ilvl w:val="0"/>
          <w:numId w:val="2"/>
        </w:numPr>
        <w:spacing w:after="40" w:before="40" w:line="280"/>
      </w:pPr>
      <w:r>
        <w:rPr>
          <w:sz w:val="22"/>
          <w:szCs w:val="22"/>
        </w:rPr>
        <w:t xml:space="preserve">Each measure carries its own aggregation rule — semi-additive measures like exposure are filtered to a date before summing across counterparties; event-counted measures like margin calls aggregate additively.</w:t>
      </w:r>
    </w:p>
    <w:p>
      <w:pPr>
        <w:pStyle w:val="Heading2"/>
        <w:spacing w:after="160" w:before="320"/>
      </w:pPr>
      <w:r>
        <w:rPr>
          <w:b/>
          <w:bCs/>
          <w:color w:val="2E5C8A"/>
          <w:sz w:val="28"/>
          <w:szCs w:val="28"/>
        </w:rPr>
        <w:t xml:space="preserve">The OBT alternative — and the problems it creates</w:t>
      </w:r>
    </w:p>
    <w:p>
      <w:pPr>
        <w:spacing w:after="80" w:before="80" w:line="300"/>
      </w:pPr>
      <w:r>
        <w:rPr>
          <w:sz w:val="22"/>
          <w:szCs w:val="22"/>
        </w:rPr>
        <w:t xml:space="preserve">It is tempting, particularly when a downstream consumer wants "one flat file with everything in it," to collapse the entire collateral domain into a single wide table — an OBT (One Big Table). Every column from every entity into one row. This section shows what such a table would look like and the problems it would create.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9772A" w:sz="8"/>
              <w:left w:val="single" w:color="B9772A" w:sz="8"/>
              <w:bottom w:val="single" w:color="B9772A" w:sz="8"/>
              <w:right w:val="single" w:color="B9772A" w:sz="8"/>
            </w:tcBorders>
            <w:shd w:fill="FFF6E0" w:val="clear"/>
            <w:tcMar>
              <w:top w:type="dxa" w:w="200"/>
              <w:left w:type="dxa" w:w="240"/>
              <w:bottom w:type="dxa" w:w="200"/>
              <w:right w:type="dxa" w:w="240"/>
            </w:tcMar>
          </w:tcPr>
          <w:p>
            <w:pPr>
              <w:spacing w:after="80" w:before="40"/>
            </w:pPr>
            <w:r>
              <w:rPr>
                <w:b/>
                <w:bCs/>
                <w:color w:val="B9772A"/>
                <w:sz w:val="22"/>
                <w:szCs w:val="22"/>
              </w:rPr>
              <w:t xml:space="preserve">[ IMAGE — OBT representation — collateral domain collapsed into one wide table ]</w:t>
            </w:r>
          </w:p>
          <w:p>
            <w:pPr>
              <w:spacing w:after="40" w:before="40"/>
            </w:pPr>
            <w:r>
              <w:rPr>
                <w:i/>
                <w:iCs/>
                <w:color w:val="5B6B7D"/>
                <w:sz w:val="20"/>
                <w:szCs w:val="20"/>
              </w:rPr>
              <w:t xml:space="preserve">Source: To be created — see description below</w:t>
            </w:r>
          </w:p>
          <w:p>
            <w:pPr>
              <w:spacing w:after="40" w:before="40"/>
            </w:pPr>
            <w:r>
              <w:rPr>
                <w:color w:val="5B6B7D"/>
                <w:sz w:val="20"/>
                <w:szCs w:val="20"/>
              </w:rPr>
              <w:t xml:space="preserve">One wide table 'collateral_obt' with all columns from Counterparty, Agreement, Trade, Margin Call, Collateral Position, Asset Movement, Dispute fields combined. The diagram should show: counterparty columns (id, lei, name, rating) | agreement columns (id, type, threshold) | trade columns (id, product, notional, pv) | exposure columns (im_total, vm_total) | margin call columns (id, direction, amount, status) | collateral position columns (id, type, market_value, haircut, cusip, maturity, exchange) | asset movement columns (id, type, amount, settlement_date) | dispute columns (id, raised_date, status). Below the diagram: notes indicating most cells would be NULL for any given row, and the table has no clear grain.</w:t>
            </w:r>
          </w:p>
        </w:tc>
      </w:tr>
    </w:tbl>
    <w:p>
      <w:pPr>
        <w:spacing w:after="80" w:before="80" w:line="300"/>
      </w:pPr>
      <w:r>
        <w:rPr>
          <w:sz w:val="22"/>
          <w:szCs w:val="22"/>
        </w:rPr>
        <w:t xml:space="preserve">The OBT looks superficially convenient — everything in one place, no joins, easy to scan. The problems become visible when you actually try to use it.</w:t>
      </w:r>
    </w:p>
    <w:p>
      <w:pPr>
        <w:pStyle w:val="Heading3"/>
        <w:spacing w:after="100" w:before="240"/>
      </w:pPr>
      <w:r>
        <w:rPr>
          <w:b/>
          <w:bCs/>
          <w:color w:val="1E2A38"/>
          <w:sz w:val="24"/>
          <w:szCs w:val="24"/>
        </w:rPr>
        <w:t xml:space="preserve">Problem 1 — No clear grain</w:t>
      </w:r>
    </w:p>
    <w:p>
      <w:pPr>
        <w:spacing w:after="80" w:before="80" w:line="300"/>
      </w:pPr>
      <w:r>
        <w:rPr>
          <w:sz w:val="22"/>
          <w:szCs w:val="22"/>
        </w:rPr>
        <w:t xml:space="preserve">The star schema has five facts, each at its own grain: daily exposure snapshots, per-event margin calls, per-event settlements, per-event disputes, per-snapshot collateral positions. The OBT collapses all of these into one table, which means the table itself has no single grain. Is one row a trade? A margin call? A dispute? A daily snapshot? The answer depends on which columns are populated.</w:t>
      </w:r>
    </w:p>
    <w:p>
      <w:pPr>
        <w:spacing w:after="80" w:before="80" w:line="300"/>
      </w:pPr>
      <w:r>
        <w:rPr>
          <w:sz w:val="22"/>
          <w:szCs w:val="22"/>
        </w:rPr>
        <w:t xml:space="preserve">This makes aggregation unsafe. Summing the `amount` column across rows produces a meaningless number, because some rows are margin call amounts, some are dispute amounts, some are settlement amounts, some are exposure totals. Without grain discipline, totals lose meaning.</w:t>
      </w:r>
    </w:p>
    <w:p>
      <w:pPr>
        <w:pStyle w:val="Heading3"/>
        <w:spacing w:after="100" w:before="240"/>
      </w:pPr>
      <w:r>
        <w:rPr>
          <w:b/>
          <w:bCs/>
          <w:color w:val="1E2A38"/>
          <w:sz w:val="24"/>
          <w:szCs w:val="24"/>
        </w:rPr>
        <w:t xml:space="preserve">Problem 2 — Massive duplication</w:t>
      </w:r>
    </w:p>
    <w:p>
      <w:pPr>
        <w:spacing w:after="80" w:before="80" w:line="300"/>
      </w:pPr>
      <w:r>
        <w:rPr>
          <w:sz w:val="22"/>
          <w:szCs w:val="22"/>
        </w:rPr>
        <w:t xml:space="preserve">Every row in the OBT has to carry the counterparty's full attribute set — lei, name, sector, rating, region. If a counterparty has 50 trades, 100 margin calls, and 500 daily exposure snapshots, those attributes appear 650 times. Storage cost grows multiplicatively. More importantly, when the counterparty's rating changes, every one of those 650 rows must be updated — and any inconsistency (one row missed, one row showing the old rating) creates a silent integrity failure.</w:t>
      </w:r>
    </w:p>
    <w:p>
      <w:pPr>
        <w:pStyle w:val="Heading3"/>
        <w:spacing w:after="100" w:before="240"/>
      </w:pPr>
      <w:r>
        <w:rPr>
          <w:b/>
          <w:bCs/>
          <w:color w:val="1E2A38"/>
          <w:sz w:val="24"/>
          <w:szCs w:val="24"/>
        </w:rPr>
        <w:t xml:space="preserve">Problem 3 — Relationships become invisible</w:t>
      </w:r>
    </w:p>
    <w:p>
      <w:pPr>
        <w:spacing w:after="80" w:before="80" w:line="300"/>
      </w:pPr>
      <w:r>
        <w:rPr>
          <w:sz w:val="22"/>
          <w:szCs w:val="22"/>
        </w:rPr>
        <w:t xml:space="preserve">In the domain model, the relationships are explicit: a Trade belongs to an Agreement; a Margin Call is raised under an Agreement; an Asset Movement settles a Margin Call. In the OBT, these are gone. The agreement_id column appears alongside trade_id, call_id, movement_id, but the table cannot tell you which trades belong to which agreement except by inspecting individual rows, and the structure does not enforce that an Asset Movement is connected to a specific Margin Call.</w:t>
      </w:r>
    </w:p>
    <w:p>
      <w:pPr>
        <w:spacing w:after="80" w:before="80" w:line="300"/>
      </w:pPr>
      <w:r>
        <w:rPr>
          <w:sz w:val="22"/>
          <w:szCs w:val="22"/>
        </w:rPr>
        <w:t xml:space="preserve">A new analyst looking at the OBT cannot derive the domain structure from it. The schema teaches them nothing about what the data means. They have to learn it from documentation or from people, then re-encode that knowledge into every query they write.</w:t>
      </w:r>
    </w:p>
    <w:p>
      <w:pPr>
        <w:pStyle w:val="Heading3"/>
        <w:spacing w:after="100" w:before="240"/>
      </w:pPr>
      <w:r>
        <w:rPr>
          <w:b/>
          <w:bCs/>
          <w:color w:val="1E2A38"/>
          <w:sz w:val="24"/>
          <w:szCs w:val="24"/>
        </w:rPr>
        <w:t xml:space="preserve">Problem 4 — Cardinality confusion</w:t>
      </w:r>
    </w:p>
    <w:p>
      <w:pPr>
        <w:spacing w:after="80" w:before="80" w:line="300"/>
      </w:pPr>
      <w:r>
        <w:rPr>
          <w:sz w:val="22"/>
          <w:szCs w:val="22"/>
        </w:rPr>
        <w:t xml:space="preserve">If a counterparty has three agreements and fifty trades across those agreements, what does one row in the OBT represent? Is it a trade row with the agreement information attached? An agreement row with the trades collapsed somehow? An exposure row with both? In practice, OBTs end up with arbitrary one-row-per-event semantics that the documentation has to spell out — because the table itself cannot.</w:t>
      </w:r>
    </w:p>
    <w:p>
      <w:pPr>
        <w:spacing w:after="80" w:before="80" w:line="300"/>
      </w:pPr>
      <w:r>
        <w:rPr>
          <w:sz w:val="22"/>
          <w:szCs w:val="22"/>
        </w:rPr>
        <w:t xml:space="preserve">This means consumer queries become brittle. Adding a `WHERE collateral_type = 'Bond'` filter returns only the rows where the row's primary event happens to be a collateral position; rows that are margin calls under bond-collateralised agreements get filtered out incorrectly.</w:t>
      </w:r>
    </w:p>
    <w:p>
      <w:pPr>
        <w:pStyle w:val="Heading3"/>
        <w:spacing w:after="100" w:before="240"/>
      </w:pPr>
      <w:r>
        <w:rPr>
          <w:b/>
          <w:bCs/>
          <w:color w:val="1E2A38"/>
          <w:sz w:val="24"/>
          <w:szCs w:val="24"/>
        </w:rPr>
        <w:t xml:space="preserve">Problem 5 — Conformance impossible to enforce at the database level</w:t>
      </w:r>
    </w:p>
    <w:p>
      <w:pPr>
        <w:spacing w:after="80" w:before="80" w:line="300"/>
      </w:pPr>
      <w:r>
        <w:rPr>
          <w:sz w:val="22"/>
          <w:szCs w:val="22"/>
        </w:rPr>
        <w:t xml:space="preserve">In the star schema, the database can enforce that every fact's foreign key to dim_counterparty exists, that dim_counterparty has a unique counterparty_id, that no fact row exists for a counterparty not in the dimension. The OBT cannot enforce any of this. The counterparty attributes appear inline in every row; nothing prevents one row from showing counterparty_id 'C001' with name 'RBC' and another row showing 'C001' with name 'Royal Bank' — both valid in their own row, jointly invalid as a representation of the same counterparty.</w:t>
      </w:r>
    </w:p>
    <w:p>
      <w:pPr>
        <w:spacing w:after="80" w:before="80" w:line="300"/>
      </w:pPr>
      <w:r>
        <w:rPr>
          <w:sz w:val="22"/>
          <w:szCs w:val="22"/>
        </w:rPr>
        <w:t xml:space="preserve">Conformance moves from a structural property (enforced by the schema) to a content property (enforced by ETL discipline or by hope). Drift is inevitable.</w:t>
      </w:r>
    </w:p>
    <w:p>
      <w:pPr>
        <w:pStyle w:val="Heading3"/>
        <w:spacing w:after="100" w:before="240"/>
      </w:pPr>
      <w:r>
        <w:rPr>
          <w:b/>
          <w:bCs/>
          <w:color w:val="1E2A38"/>
          <w:sz w:val="24"/>
          <w:szCs w:val="24"/>
        </w:rPr>
        <w:t xml:space="preserve">Problem 6 — Schema evolution becomes destructive</w:t>
      </w:r>
    </w:p>
    <w:p>
      <w:pPr>
        <w:spacing w:after="80" w:before="80" w:line="300"/>
      </w:pPr>
      <w:r>
        <w:rPr>
          <w:sz w:val="22"/>
          <w:szCs w:val="22"/>
        </w:rPr>
        <w:t xml:space="preserve">In the star schema, adding a new fact — for example, fact_breach_event — is additive. The new fact joins to the existing dimensions; nothing else changes. In the OBT, accommodating breach events requires adding new columns to the existing wide table, which means every row that does not represent a breach has nulls in those columns. Over time the table accumulates more null columns than non-null ones for any given row.</w:t>
      </w:r>
    </w:p>
    <w:p>
      <w:pPr>
        <w:spacing w:after="80" w:before="80" w:line="300"/>
      </w:pPr>
      <w:r>
        <w:rPr>
          <w:sz w:val="22"/>
          <w:szCs w:val="22"/>
        </w:rPr>
        <w:t xml:space="preserve">Worse, the OBT becomes harder to deprecate or restructure because so many downstream consumers point at it. The temptation to keep adding columns rather than restructure compounds the problem.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5C8A" w:sz="24"/>
              <w:bottom w:val="none" w:color="FFFFFF" w:sz="0"/>
              <w:right w:val="none" w:color="FFFFFF" w:sz="0"/>
            </w:tcBorders>
            <w:shd w:fill="EAF1F8" w:val="clear"/>
            <w:tcMar>
              <w:top w:type="dxa" w:w="180"/>
              <w:left w:type="dxa" w:w="260"/>
              <w:bottom w:type="dxa" w:w="180"/>
              <w:right w:type="dxa" w:w="200"/>
            </w:tcMar>
          </w:tcPr>
          <w:p>
            <w:pPr>
              <w:spacing w:after="40" w:before="40" w:line="300"/>
            </w:pPr>
            <w:r>
              <w:rPr>
                <w:b/>
                <w:bCs/>
                <w:sz w:val="22"/>
                <w:szCs w:val="22"/>
              </w:rPr>
              <w:t xml:space="preserve">Why this matters. </w:t>
            </w:r>
            <w:r>
              <w:rPr>
                <w:sz w:val="22"/>
                <w:szCs w:val="22"/>
              </w:rPr>
              <w:t xml:space="preserve">Most teams that build OBTs do so to avoid joins or to ship something quickly. The OBT serves the immediate consumer; it does not serve future consumers, downstream analytics, audit, or cross-domain reporting. Once entrenched, an OBT is expensive to undo. The recommendation is to build the star schema first, and let consumers who need a denormalised view materialise their own — leaving the governed model intact.</w:t>
            </w:r>
          </w:p>
        </w:tc>
      </w:tr>
    </w:tbl>
    <w:p>
      <w:pPr>
        <w:pStyle w:val="Heading3"/>
        <w:spacing w:after="100" w:before="240"/>
      </w:pPr>
      <w:r>
        <w:rPr>
          <w:b/>
          <w:bCs/>
          <w:color w:val="1E2A38"/>
          <w:sz w:val="24"/>
          <w:szCs w:val="24"/>
        </w:rPr>
        <w:t xml:space="preserve">The role of OBTs, in context</w:t>
      </w:r>
    </w:p>
    <w:p>
      <w:pPr>
        <w:spacing w:after="80" w:before="80" w:line="300"/>
      </w:pPr>
      <w:r>
        <w:rPr>
          <w:sz w:val="22"/>
          <w:szCs w:val="22"/>
        </w:rPr>
        <w:t xml:space="preserve">OBTs are not always wrong. There are legitimate uses: one-off extracts for an external consumer who cannot join, machine learning feature tables where the joins have been done once and frozen for training stability, or a denormalised view materialised over the star schema for read-heavy analytical workloads. The point is not that OBTs should never exist — it is that the OBT should be derived from a proper underlying model, not the other way around.</w:t>
      </w:r>
    </w:p>
    <w:p>
      <w:pPr>
        <w:spacing w:after="80" w:before="80" w:line="300"/>
      </w:pPr>
      <w:r>
        <w:rPr>
          <w:sz w:val="22"/>
          <w:szCs w:val="22"/>
        </w:rPr>
        <w:t xml:space="preserve">When a star schema exists underneath, building an OBT on top is a flatten-and-publish operation. When the OBT is the only thing that exists, recovering the domain model from it is archaeology.</w:t>
      </w:r>
    </w:p>
    <w:p>
      <w:pPr>
        <w:pStyle w:val="Heading2"/>
        <w:spacing w:after="160" w:before="320"/>
      </w:pPr>
      <w:r>
        <w:rPr>
          <w:b/>
          <w:bCs/>
          <w:color w:val="2E5C8A"/>
          <w:sz w:val="28"/>
          <w:szCs w:val="28"/>
        </w:rPr>
        <w:t xml:space="preserve">The three views, side by side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60"/>
        <w:gridCol w:w="2700"/>
        <w:gridCol w:w="2000"/>
      </w:tblGrid>
      <w:tr>
        <w:tc>
          <w:tcPr>
            <w:tcW w:type="dxa" w:w="2000"/>
            <w:tcBorders>
              <w:top w:val="single" w:color="CCCCCC" w:sz="4"/>
              <w:left w:val="single" w:color="CCCCCC" w:sz="4"/>
              <w:bottom w:val="single" w:color="CCCCCC" w:sz="4"/>
              <w:right w:val="single" w:color="CCCCCC" w:sz="4"/>
            </w:tcBorders>
            <w:shd w:fill="2E5C8A" w:val="clear"/>
            <w:tcMar>
              <w:top w:type="dxa" w:w="100"/>
              <w:left w:type="dxa" w:w="150"/>
              <w:bottom w:type="dxa" w:w="100"/>
              <w:right w:type="dxa" w:w="150"/>
            </w:tcMar>
          </w:tcPr>
          <w:p>
            <w:r>
              <w:rPr>
                <w:b/>
                <w:bCs/>
                <w:color w:val="FFFFFF"/>
                <w:sz w:val="22"/>
                <w:szCs w:val="22"/>
              </w:rPr>
              <w:t xml:space="preserve"/>
            </w:r>
          </w:p>
        </w:tc>
        <w:tc>
          <w:tcPr>
            <w:tcW w:type="dxa" w:w="2660"/>
            <w:tcBorders>
              <w:top w:val="single" w:color="CCCCCC" w:sz="4"/>
              <w:left w:val="single" w:color="CCCCCC" w:sz="4"/>
              <w:bottom w:val="single" w:color="CCCCCC" w:sz="4"/>
              <w:right w:val="single" w:color="CCCCCC" w:sz="4"/>
            </w:tcBorders>
            <w:shd w:fill="2E5C8A" w:val="clear"/>
            <w:tcMar>
              <w:top w:type="dxa" w:w="100"/>
              <w:left w:type="dxa" w:w="150"/>
              <w:bottom w:type="dxa" w:w="100"/>
              <w:right w:type="dxa" w:w="150"/>
            </w:tcMar>
          </w:tcPr>
          <w:p>
            <w:r>
              <w:rPr>
                <w:b/>
                <w:bCs/>
                <w:color w:val="FFFFFF"/>
                <w:sz w:val="22"/>
                <w:szCs w:val="22"/>
              </w:rPr>
              <w:t xml:space="preserve">Logical domain model</w:t>
            </w:r>
          </w:p>
        </w:tc>
        <w:tc>
          <w:tcPr>
            <w:tcW w:type="dxa" w:w="2700"/>
            <w:tcBorders>
              <w:top w:val="single" w:color="CCCCCC" w:sz="4"/>
              <w:left w:val="single" w:color="CCCCCC" w:sz="4"/>
              <w:bottom w:val="single" w:color="CCCCCC" w:sz="4"/>
              <w:right w:val="single" w:color="CCCCCC" w:sz="4"/>
            </w:tcBorders>
            <w:shd w:fill="2E5C8A" w:val="clear"/>
            <w:tcMar>
              <w:top w:type="dxa" w:w="100"/>
              <w:left w:type="dxa" w:w="150"/>
              <w:bottom w:type="dxa" w:w="100"/>
              <w:right w:type="dxa" w:w="150"/>
            </w:tcMar>
          </w:tcPr>
          <w:p>
            <w:r>
              <w:rPr>
                <w:b/>
                <w:bCs/>
                <w:color w:val="FFFFFF"/>
                <w:sz w:val="22"/>
                <w:szCs w:val="22"/>
              </w:rPr>
              <w:t xml:space="preserve">Star schema</w:t>
            </w:r>
          </w:p>
        </w:tc>
        <w:tc>
          <w:tcPr>
            <w:tcW w:type="dxa" w:w="2000"/>
            <w:tcBorders>
              <w:top w:val="single" w:color="CCCCCC" w:sz="4"/>
              <w:left w:val="single" w:color="CCCCCC" w:sz="4"/>
              <w:bottom w:val="single" w:color="CCCCCC" w:sz="4"/>
              <w:right w:val="single" w:color="CCCCCC" w:sz="4"/>
            </w:tcBorders>
            <w:shd w:fill="2E5C8A" w:val="clear"/>
            <w:tcMar>
              <w:top w:type="dxa" w:w="100"/>
              <w:left w:type="dxa" w:w="150"/>
              <w:bottom w:type="dxa" w:w="100"/>
              <w:right w:type="dxa" w:w="150"/>
            </w:tcMar>
          </w:tcPr>
          <w:p>
            <w:r>
              <w:rPr>
                <w:b/>
                <w:bCs/>
                <w:color w:val="FFFFFF"/>
                <w:sz w:val="22"/>
                <w:szCs w:val="22"/>
              </w:rPr>
              <w:t xml:space="preserve">OBT</w:t>
            </w:r>
          </w:p>
        </w:tc>
      </w:tr>
      <w:tr>
        <w:tc>
          <w:tcPr>
            <w:tcW w:type="dxa" w:w="2000"/>
            <w:tcBorders>
              <w:top w:val="single" w:color="CCCCCC" w:sz="4"/>
              <w:left w:val="single" w:color="CCCCCC" w:sz="4"/>
              <w:bottom w:val="single" w:color="CCCCCC" w:sz="4"/>
              <w:right w:val="single" w:color="CCCCCC" w:sz="4"/>
            </w:tcBorders>
            <w:shd w:fill="F2F5F8" w:val="clear"/>
            <w:tcMar>
              <w:top w:type="dxa" w:w="100"/>
              <w:left w:type="dxa" w:w="150"/>
              <w:bottom w:type="dxa" w:w="100"/>
              <w:right w:type="dxa" w:w="150"/>
            </w:tcMar>
          </w:tcPr>
          <w:p>
            <w:pPr>
              <w:spacing w:after="30" w:before="30" w:line="280"/>
            </w:pPr>
            <w:r>
              <w:rPr>
                <w:sz w:val="22"/>
                <w:szCs w:val="22"/>
              </w:rPr>
              <w:t xml:space="preserve">What it describes</w:t>
            </w:r>
          </w:p>
        </w:tc>
        <w:tc>
          <w:tcPr>
            <w:tcW w:type="dxa" w:w="2660"/>
            <w:tcBorders>
              <w:top w:val="single" w:color="CCCCCC" w:sz="4"/>
              <w:left w:val="single" w:color="CCCCCC" w:sz="4"/>
              <w:bottom w:val="single" w:color="CCCCCC" w:sz="4"/>
              <w:right w:val="single" w:color="CCCCCC" w:sz="4"/>
            </w:tcBorders>
            <w:shd w:fill="F2F5F8" w:val="clear"/>
            <w:tcMar>
              <w:top w:type="dxa" w:w="100"/>
              <w:left w:type="dxa" w:w="150"/>
              <w:bottom w:type="dxa" w:w="100"/>
              <w:right w:type="dxa" w:w="150"/>
            </w:tcMar>
          </w:tcPr>
          <w:p>
            <w:pPr>
              <w:spacing w:after="30" w:before="30" w:line="280"/>
            </w:pPr>
            <w:r>
              <w:rPr>
                <w:sz w:val="22"/>
                <w:szCs w:val="22"/>
              </w:rPr>
              <w:t xml:space="preserve">What exists in the domain</w:t>
            </w:r>
          </w:p>
        </w:tc>
        <w:tc>
          <w:tcPr>
            <w:tcW w:type="dxa" w:w="2700"/>
            <w:tcBorders>
              <w:top w:val="single" w:color="CCCCCC" w:sz="4"/>
              <w:left w:val="single" w:color="CCCCCC" w:sz="4"/>
              <w:bottom w:val="single" w:color="CCCCCC" w:sz="4"/>
              <w:right w:val="single" w:color="CCCCCC" w:sz="4"/>
            </w:tcBorders>
            <w:shd w:fill="F2F5F8" w:val="clear"/>
            <w:tcMar>
              <w:top w:type="dxa" w:w="100"/>
              <w:left w:type="dxa" w:w="150"/>
              <w:bottom w:type="dxa" w:w="100"/>
              <w:right w:type="dxa" w:w="150"/>
            </w:tcMar>
          </w:tcPr>
          <w:p>
            <w:pPr>
              <w:spacing w:after="30" w:before="30" w:line="280"/>
            </w:pPr>
            <w:r>
              <w:rPr>
                <w:sz w:val="22"/>
                <w:szCs w:val="22"/>
              </w:rPr>
              <w:t xml:space="preserve">How to query the domain analytically</w:t>
            </w:r>
          </w:p>
        </w:tc>
        <w:tc>
          <w:tcPr>
            <w:tcW w:type="dxa" w:w="2000"/>
            <w:tcBorders>
              <w:top w:val="single" w:color="CCCCCC" w:sz="4"/>
              <w:left w:val="single" w:color="CCCCCC" w:sz="4"/>
              <w:bottom w:val="single" w:color="CCCCCC" w:sz="4"/>
              <w:right w:val="single" w:color="CCCCCC" w:sz="4"/>
            </w:tcBorders>
            <w:shd w:fill="F2F5F8" w:val="clear"/>
            <w:tcMar>
              <w:top w:type="dxa" w:w="100"/>
              <w:left w:type="dxa" w:w="150"/>
              <w:bottom w:type="dxa" w:w="100"/>
              <w:right w:type="dxa" w:w="150"/>
            </w:tcMar>
          </w:tcPr>
          <w:p>
            <w:pPr>
              <w:spacing w:after="30" w:before="30" w:line="280"/>
            </w:pPr>
            <w:r>
              <w:rPr>
                <w:sz w:val="22"/>
                <w:szCs w:val="22"/>
              </w:rPr>
              <w:t xml:space="preserve">Everything flattened into one shape</w:t>
            </w:r>
          </w:p>
        </w:tc>
      </w:tr>
      <w:tr>
        <w:tc>
          <w:tcPr>
            <w:tcW w:type="dxa" w:w="20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pPr>
              <w:spacing w:after="30" w:before="30" w:line="280"/>
            </w:pPr>
            <w:r>
              <w:rPr>
                <w:sz w:val="22"/>
                <w:szCs w:val="22"/>
              </w:rPr>
              <w:t xml:space="preserve">Number of objects</w:t>
            </w:r>
          </w:p>
        </w:tc>
        <w:tc>
          <w:tcPr>
            <w:tcW w:type="dxa" w:w="266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pPr>
              <w:spacing w:after="30" w:before="30" w:line="280"/>
            </w:pPr>
            <w:r>
              <w:rPr>
                <w:sz w:val="22"/>
                <w:szCs w:val="22"/>
              </w:rPr>
              <w:t xml:space="preserve">Eight entities with explicit relationships</w:t>
            </w:r>
          </w:p>
        </w:tc>
        <w:tc>
          <w:tcPr>
            <w:tcW w:type="dxa" w:w="27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pPr>
              <w:spacing w:after="30" w:before="30" w:line="280"/>
            </w:pPr>
            <w:r>
              <w:rPr>
                <w:sz w:val="22"/>
                <w:szCs w:val="22"/>
              </w:rPr>
              <w:t xml:space="preserve">Five facts + five conformed dimensions</w:t>
            </w:r>
          </w:p>
        </w:tc>
        <w:tc>
          <w:tcPr>
            <w:tcW w:type="dxa" w:w="20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pPr>
              <w:spacing w:after="30" w:before="30" w:line="280"/>
            </w:pPr>
            <w:r>
              <w:rPr>
                <w:sz w:val="22"/>
                <w:szCs w:val="22"/>
              </w:rPr>
              <w:t xml:space="preserve">One wide table</w:t>
            </w:r>
          </w:p>
        </w:tc>
      </w:tr>
      <w:tr>
        <w:tc>
          <w:tcPr>
            <w:tcW w:type="dxa" w:w="2000"/>
            <w:tcBorders>
              <w:top w:val="single" w:color="CCCCCC" w:sz="4"/>
              <w:left w:val="single" w:color="CCCCCC" w:sz="4"/>
              <w:bottom w:val="single" w:color="CCCCCC" w:sz="4"/>
              <w:right w:val="single" w:color="CCCCCC" w:sz="4"/>
            </w:tcBorders>
            <w:shd w:fill="F2F5F8" w:val="clear"/>
            <w:tcMar>
              <w:top w:type="dxa" w:w="100"/>
              <w:left w:type="dxa" w:w="150"/>
              <w:bottom w:type="dxa" w:w="100"/>
              <w:right w:type="dxa" w:w="150"/>
            </w:tcMar>
          </w:tcPr>
          <w:p>
            <w:pPr>
              <w:spacing w:after="30" w:before="30" w:line="280"/>
            </w:pPr>
            <w:r>
              <w:rPr>
                <w:sz w:val="22"/>
                <w:szCs w:val="22"/>
              </w:rPr>
              <w:t xml:space="preserve">Grain</w:t>
            </w:r>
          </w:p>
        </w:tc>
        <w:tc>
          <w:tcPr>
            <w:tcW w:type="dxa" w:w="2660"/>
            <w:tcBorders>
              <w:top w:val="single" w:color="CCCCCC" w:sz="4"/>
              <w:left w:val="single" w:color="CCCCCC" w:sz="4"/>
              <w:bottom w:val="single" w:color="CCCCCC" w:sz="4"/>
              <w:right w:val="single" w:color="CCCCCC" w:sz="4"/>
            </w:tcBorders>
            <w:shd w:fill="F2F5F8" w:val="clear"/>
            <w:tcMar>
              <w:top w:type="dxa" w:w="100"/>
              <w:left w:type="dxa" w:w="150"/>
              <w:bottom w:type="dxa" w:w="100"/>
              <w:right w:type="dxa" w:w="150"/>
            </w:tcMar>
          </w:tcPr>
          <w:p>
            <w:pPr>
              <w:spacing w:after="30" w:before="30" w:line="280"/>
            </w:pPr>
            <w:r>
              <w:rPr>
                <w:sz w:val="22"/>
                <w:szCs w:val="22"/>
              </w:rPr>
              <w:t xml:space="preserve">Each entity has its own identity</w:t>
            </w:r>
          </w:p>
        </w:tc>
        <w:tc>
          <w:tcPr>
            <w:tcW w:type="dxa" w:w="2700"/>
            <w:tcBorders>
              <w:top w:val="single" w:color="CCCCCC" w:sz="4"/>
              <w:left w:val="single" w:color="CCCCCC" w:sz="4"/>
              <w:bottom w:val="single" w:color="CCCCCC" w:sz="4"/>
              <w:right w:val="single" w:color="CCCCCC" w:sz="4"/>
            </w:tcBorders>
            <w:shd w:fill="F2F5F8" w:val="clear"/>
            <w:tcMar>
              <w:top w:type="dxa" w:w="100"/>
              <w:left w:type="dxa" w:w="150"/>
              <w:bottom w:type="dxa" w:w="100"/>
              <w:right w:type="dxa" w:w="150"/>
            </w:tcMar>
          </w:tcPr>
          <w:p>
            <w:pPr>
              <w:spacing w:after="30" w:before="30" w:line="280"/>
            </w:pPr>
            <w:r>
              <w:rPr>
                <w:sz w:val="22"/>
                <w:szCs w:val="22"/>
              </w:rPr>
              <w:t xml:space="preserve">Each fact has its own grain</w:t>
            </w:r>
          </w:p>
        </w:tc>
        <w:tc>
          <w:tcPr>
            <w:tcW w:type="dxa" w:w="2000"/>
            <w:tcBorders>
              <w:top w:val="single" w:color="CCCCCC" w:sz="4"/>
              <w:left w:val="single" w:color="CCCCCC" w:sz="4"/>
              <w:bottom w:val="single" w:color="CCCCCC" w:sz="4"/>
              <w:right w:val="single" w:color="CCCCCC" w:sz="4"/>
            </w:tcBorders>
            <w:shd w:fill="F2F5F8" w:val="clear"/>
            <w:tcMar>
              <w:top w:type="dxa" w:w="100"/>
              <w:left w:type="dxa" w:w="150"/>
              <w:bottom w:type="dxa" w:w="100"/>
              <w:right w:type="dxa" w:w="150"/>
            </w:tcMar>
          </w:tcPr>
          <w:p>
            <w:pPr>
              <w:spacing w:after="30" w:before="30" w:line="280"/>
            </w:pPr>
            <w:r>
              <w:rPr>
                <w:sz w:val="22"/>
                <w:szCs w:val="22"/>
              </w:rPr>
              <w:t xml:space="preserve">No single grain</w:t>
            </w:r>
          </w:p>
        </w:tc>
      </w:tr>
      <w:tr>
        <w:tc>
          <w:tcPr>
            <w:tcW w:type="dxa" w:w="20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pPr>
              <w:spacing w:after="30" w:before="30" w:line="280"/>
            </w:pPr>
            <w:r>
              <w:rPr>
                <w:sz w:val="22"/>
                <w:szCs w:val="22"/>
              </w:rPr>
              <w:t xml:space="preserve">Cross-fact analysis</w:t>
            </w:r>
          </w:p>
        </w:tc>
        <w:tc>
          <w:tcPr>
            <w:tcW w:type="dxa" w:w="266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pPr>
              <w:spacing w:after="30" w:before="30" w:line="280"/>
            </w:pPr>
            <w:r>
              <w:rPr>
                <w:sz w:val="22"/>
                <w:szCs w:val="22"/>
              </w:rPr>
              <w:t xml:space="preserve">N/A — describes structure, not analytics</w:t>
            </w:r>
          </w:p>
        </w:tc>
        <w:tc>
          <w:tcPr>
            <w:tcW w:type="dxa" w:w="27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pPr>
              <w:spacing w:after="30" w:before="30" w:line="280"/>
            </w:pPr>
            <w:r>
              <w:rPr>
                <w:sz w:val="22"/>
                <w:szCs w:val="22"/>
              </w:rPr>
              <w:t xml:space="preserve">Safe via conformed dimensions</w:t>
            </w:r>
          </w:p>
        </w:tc>
        <w:tc>
          <w:tcPr>
            <w:tcW w:type="dxa" w:w="20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pPr>
              <w:spacing w:after="30" w:before="30" w:line="280"/>
            </w:pPr>
            <w:r>
              <w:rPr>
                <w:sz w:val="22"/>
                <w:szCs w:val="22"/>
              </w:rPr>
              <w:t xml:space="preserve">Risky — grain mixing</w:t>
            </w:r>
          </w:p>
        </w:tc>
      </w:tr>
      <w:tr>
        <w:tc>
          <w:tcPr>
            <w:tcW w:type="dxa" w:w="2000"/>
            <w:tcBorders>
              <w:top w:val="single" w:color="CCCCCC" w:sz="4"/>
              <w:left w:val="single" w:color="CCCCCC" w:sz="4"/>
              <w:bottom w:val="single" w:color="CCCCCC" w:sz="4"/>
              <w:right w:val="single" w:color="CCCCCC" w:sz="4"/>
            </w:tcBorders>
            <w:shd w:fill="F2F5F8" w:val="clear"/>
            <w:tcMar>
              <w:top w:type="dxa" w:w="100"/>
              <w:left w:type="dxa" w:w="150"/>
              <w:bottom w:type="dxa" w:w="100"/>
              <w:right w:type="dxa" w:w="150"/>
            </w:tcMar>
          </w:tcPr>
          <w:p>
            <w:pPr>
              <w:spacing w:after="30" w:before="30" w:line="280"/>
            </w:pPr>
            <w:r>
              <w:rPr>
                <w:sz w:val="22"/>
                <w:szCs w:val="22"/>
              </w:rPr>
              <w:t xml:space="preserve">Storage efficiency</w:t>
            </w:r>
          </w:p>
        </w:tc>
        <w:tc>
          <w:tcPr>
            <w:tcW w:type="dxa" w:w="2660"/>
            <w:tcBorders>
              <w:top w:val="single" w:color="CCCCCC" w:sz="4"/>
              <w:left w:val="single" w:color="CCCCCC" w:sz="4"/>
              <w:bottom w:val="single" w:color="CCCCCC" w:sz="4"/>
              <w:right w:val="single" w:color="CCCCCC" w:sz="4"/>
            </w:tcBorders>
            <w:shd w:fill="F2F5F8" w:val="clear"/>
            <w:tcMar>
              <w:top w:type="dxa" w:w="100"/>
              <w:left w:type="dxa" w:w="150"/>
              <w:bottom w:type="dxa" w:w="100"/>
              <w:right w:type="dxa" w:w="150"/>
            </w:tcMar>
          </w:tcPr>
          <w:p>
            <w:pPr>
              <w:spacing w:after="30" w:before="30" w:line="280"/>
            </w:pPr>
            <w:r>
              <w:rPr>
                <w:sz w:val="22"/>
                <w:szCs w:val="22"/>
              </w:rPr>
              <w:t xml:space="preserve">N/A — logical only</w:t>
            </w:r>
          </w:p>
        </w:tc>
        <w:tc>
          <w:tcPr>
            <w:tcW w:type="dxa" w:w="2700"/>
            <w:tcBorders>
              <w:top w:val="single" w:color="CCCCCC" w:sz="4"/>
              <w:left w:val="single" w:color="CCCCCC" w:sz="4"/>
              <w:bottom w:val="single" w:color="CCCCCC" w:sz="4"/>
              <w:right w:val="single" w:color="CCCCCC" w:sz="4"/>
            </w:tcBorders>
            <w:shd w:fill="F2F5F8" w:val="clear"/>
            <w:tcMar>
              <w:top w:type="dxa" w:w="100"/>
              <w:left w:type="dxa" w:w="150"/>
              <w:bottom w:type="dxa" w:w="100"/>
              <w:right w:type="dxa" w:w="150"/>
            </w:tcMar>
          </w:tcPr>
          <w:p>
            <w:pPr>
              <w:spacing w:after="30" w:before="30" w:line="280"/>
            </w:pPr>
            <w:r>
              <w:rPr>
                <w:sz w:val="22"/>
                <w:szCs w:val="22"/>
              </w:rPr>
              <w:t xml:space="preserve">Compact — no duplication</w:t>
            </w:r>
          </w:p>
        </w:tc>
        <w:tc>
          <w:tcPr>
            <w:tcW w:type="dxa" w:w="2000"/>
            <w:tcBorders>
              <w:top w:val="single" w:color="CCCCCC" w:sz="4"/>
              <w:left w:val="single" w:color="CCCCCC" w:sz="4"/>
              <w:bottom w:val="single" w:color="CCCCCC" w:sz="4"/>
              <w:right w:val="single" w:color="CCCCCC" w:sz="4"/>
            </w:tcBorders>
            <w:shd w:fill="F2F5F8" w:val="clear"/>
            <w:tcMar>
              <w:top w:type="dxa" w:w="100"/>
              <w:left w:type="dxa" w:w="150"/>
              <w:bottom w:type="dxa" w:w="100"/>
              <w:right w:type="dxa" w:w="150"/>
            </w:tcMar>
          </w:tcPr>
          <w:p>
            <w:pPr>
              <w:spacing w:after="30" w:before="30" w:line="280"/>
            </w:pPr>
            <w:r>
              <w:rPr>
                <w:sz w:val="22"/>
                <w:szCs w:val="22"/>
              </w:rPr>
              <w:t xml:space="preserve">Bloated — massive duplication</w:t>
            </w:r>
          </w:p>
        </w:tc>
      </w:tr>
      <w:tr>
        <w:tc>
          <w:tcPr>
            <w:tcW w:type="dxa" w:w="20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pPr>
              <w:spacing w:after="30" w:before="30" w:line="280"/>
            </w:pPr>
            <w:r>
              <w:rPr>
                <w:sz w:val="22"/>
                <w:szCs w:val="22"/>
              </w:rPr>
              <w:t xml:space="preserve">Schema evolution</w:t>
            </w:r>
          </w:p>
        </w:tc>
        <w:tc>
          <w:tcPr>
            <w:tcW w:type="dxa" w:w="266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pPr>
              <w:spacing w:after="30" w:before="30" w:line="280"/>
            </w:pPr>
            <w:r>
              <w:rPr>
                <w:sz w:val="22"/>
                <w:szCs w:val="22"/>
              </w:rPr>
              <w:t xml:space="preserve">Add new entity = explicit modelling decision</w:t>
            </w:r>
          </w:p>
        </w:tc>
        <w:tc>
          <w:tcPr>
            <w:tcW w:type="dxa" w:w="27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pPr>
              <w:spacing w:after="30" w:before="30" w:line="280"/>
            </w:pPr>
            <w:r>
              <w:rPr>
                <w:sz w:val="22"/>
                <w:szCs w:val="22"/>
              </w:rPr>
              <w:t xml:space="preserve">Add new fact = additive, no impact on existing</w:t>
            </w:r>
          </w:p>
        </w:tc>
        <w:tc>
          <w:tcPr>
            <w:tcW w:type="dxa" w:w="20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pPr>
              <w:spacing w:after="30" w:before="30" w:line="280"/>
            </w:pPr>
            <w:r>
              <w:rPr>
                <w:sz w:val="22"/>
                <w:szCs w:val="22"/>
              </w:rPr>
              <w:t xml:space="preserve">Add new columns to wide table = brittle</w:t>
            </w:r>
          </w:p>
        </w:tc>
      </w:tr>
      <w:tr>
        <w:tc>
          <w:tcPr>
            <w:tcW w:type="dxa" w:w="2000"/>
            <w:tcBorders>
              <w:top w:val="single" w:color="CCCCCC" w:sz="4"/>
              <w:left w:val="single" w:color="CCCCCC" w:sz="4"/>
              <w:bottom w:val="single" w:color="CCCCCC" w:sz="4"/>
              <w:right w:val="single" w:color="CCCCCC" w:sz="4"/>
            </w:tcBorders>
            <w:shd w:fill="F2F5F8" w:val="clear"/>
            <w:tcMar>
              <w:top w:type="dxa" w:w="100"/>
              <w:left w:type="dxa" w:w="150"/>
              <w:bottom w:type="dxa" w:w="100"/>
              <w:right w:type="dxa" w:w="150"/>
            </w:tcMar>
          </w:tcPr>
          <w:p>
            <w:pPr>
              <w:spacing w:after="30" w:before="30" w:line="280"/>
            </w:pPr>
            <w:r>
              <w:rPr>
                <w:sz w:val="22"/>
                <w:szCs w:val="22"/>
              </w:rPr>
              <w:t xml:space="preserve">Conformance enforceability</w:t>
            </w:r>
          </w:p>
        </w:tc>
        <w:tc>
          <w:tcPr>
            <w:tcW w:type="dxa" w:w="2660"/>
            <w:tcBorders>
              <w:top w:val="single" w:color="CCCCCC" w:sz="4"/>
              <w:left w:val="single" w:color="CCCCCC" w:sz="4"/>
              <w:bottom w:val="single" w:color="CCCCCC" w:sz="4"/>
              <w:right w:val="single" w:color="CCCCCC" w:sz="4"/>
            </w:tcBorders>
            <w:shd w:fill="F2F5F8" w:val="clear"/>
            <w:tcMar>
              <w:top w:type="dxa" w:w="100"/>
              <w:left w:type="dxa" w:w="150"/>
              <w:bottom w:type="dxa" w:w="100"/>
              <w:right w:type="dxa" w:w="150"/>
            </w:tcMar>
          </w:tcPr>
          <w:p>
            <w:pPr>
              <w:spacing w:after="30" w:before="30" w:line="280"/>
            </w:pPr>
            <w:r>
              <w:rPr>
                <w:sz w:val="22"/>
                <w:szCs w:val="22"/>
              </w:rPr>
              <w:t xml:space="preserve">By definition — model is the conformed artefact</w:t>
            </w:r>
          </w:p>
        </w:tc>
        <w:tc>
          <w:tcPr>
            <w:tcW w:type="dxa" w:w="2700"/>
            <w:tcBorders>
              <w:top w:val="single" w:color="CCCCCC" w:sz="4"/>
              <w:left w:val="single" w:color="CCCCCC" w:sz="4"/>
              <w:bottom w:val="single" w:color="CCCCCC" w:sz="4"/>
              <w:right w:val="single" w:color="CCCCCC" w:sz="4"/>
            </w:tcBorders>
            <w:shd w:fill="F2F5F8" w:val="clear"/>
            <w:tcMar>
              <w:top w:type="dxa" w:w="100"/>
              <w:left w:type="dxa" w:w="150"/>
              <w:bottom w:type="dxa" w:w="100"/>
              <w:right w:type="dxa" w:w="150"/>
            </w:tcMar>
          </w:tcPr>
          <w:p>
            <w:pPr>
              <w:spacing w:after="30" w:before="30" w:line="280"/>
            </w:pPr>
            <w:r>
              <w:rPr>
                <w:sz w:val="22"/>
                <w:szCs w:val="22"/>
              </w:rPr>
              <w:t xml:space="preserve">Structural — database enforces FKs to conformed dimensions</w:t>
            </w:r>
          </w:p>
        </w:tc>
        <w:tc>
          <w:tcPr>
            <w:tcW w:type="dxa" w:w="2000"/>
            <w:tcBorders>
              <w:top w:val="single" w:color="CCCCCC" w:sz="4"/>
              <w:left w:val="single" w:color="CCCCCC" w:sz="4"/>
              <w:bottom w:val="single" w:color="CCCCCC" w:sz="4"/>
              <w:right w:val="single" w:color="CCCCCC" w:sz="4"/>
            </w:tcBorders>
            <w:shd w:fill="F2F5F8" w:val="clear"/>
            <w:tcMar>
              <w:top w:type="dxa" w:w="100"/>
              <w:left w:type="dxa" w:w="150"/>
              <w:bottom w:type="dxa" w:w="100"/>
              <w:right w:type="dxa" w:w="150"/>
            </w:tcMar>
          </w:tcPr>
          <w:p>
            <w:pPr>
              <w:spacing w:after="30" w:before="30" w:line="280"/>
            </w:pPr>
            <w:r>
              <w:rPr>
                <w:sz w:val="22"/>
                <w:szCs w:val="22"/>
              </w:rPr>
              <w:t xml:space="preserve">By ETL discipline only — easy to drift</w:t>
            </w:r>
          </w:p>
        </w:tc>
      </w:tr>
      <w:tr>
        <w:tc>
          <w:tcPr>
            <w:tcW w:type="dxa" w:w="20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pPr>
              <w:spacing w:after="30" w:before="30" w:line="280"/>
            </w:pPr>
            <w:r>
              <w:rPr>
                <w:sz w:val="22"/>
                <w:szCs w:val="22"/>
              </w:rPr>
              <w:t xml:space="preserve">Best for</w:t>
            </w:r>
          </w:p>
        </w:tc>
        <w:tc>
          <w:tcPr>
            <w:tcW w:type="dxa" w:w="266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pPr>
              <w:spacing w:after="30" w:before="30" w:line="280"/>
            </w:pPr>
            <w:r>
              <w:rPr>
                <w:sz w:val="22"/>
                <w:szCs w:val="22"/>
              </w:rPr>
              <w:t xml:space="preserve">Domain understanding, governance, enterprise model contribution</w:t>
            </w:r>
          </w:p>
        </w:tc>
        <w:tc>
          <w:tcPr>
            <w:tcW w:type="dxa" w:w="27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pPr>
              <w:spacing w:after="30" w:before="30" w:line="280"/>
            </w:pPr>
            <w:r>
              <w:rPr>
                <w:sz w:val="22"/>
                <w:szCs w:val="22"/>
              </w:rPr>
              <w:t xml:space="preserve">Analytical querying, BI, capital reports, AI consumption</w:t>
            </w:r>
          </w:p>
        </w:tc>
        <w:tc>
          <w:tcPr>
            <w:tcW w:type="dxa" w:w="20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pPr>
              <w:spacing w:after="30" w:before="30" w:line="280"/>
            </w:pPr>
            <w:r>
              <w:rPr>
                <w:sz w:val="22"/>
                <w:szCs w:val="22"/>
              </w:rPr>
              <w:t xml:space="preserve">One-off extracts for external consumers; never as primary representation</w:t>
            </w:r>
          </w:p>
        </w:tc>
      </w:tr>
    </w:tbl>
    <w:p>
      <w:pPr>
        <w:pStyle w:val="Heading2"/>
        <w:spacing w:after="160" w:before="320"/>
      </w:pPr>
      <w:r>
        <w:rPr>
          <w:b/>
          <w:bCs/>
          <w:color w:val="2E5C8A"/>
          <w:sz w:val="28"/>
          <w:szCs w:val="28"/>
        </w:rPr>
        <w:t xml:space="preserve">Related pages</w:t>
      </w:r>
    </w:p>
    <w:p>
      <w:pPr>
        <w:spacing w:after="40" w:before="40"/>
      </w:pPr>
      <w:r>
        <w:rPr>
          <w:sz w:val="22"/>
          <w:szCs w:val="22"/>
        </w:rPr>
        <w:t xml:space="preserve">🛠 </w:t>
      </w:r>
      <w:r>
        <w:rPr>
          <w:i/>
          <w:iCs/>
          <w:color w:val="2E5C8A"/>
          <w:sz w:val="22"/>
          <w:szCs w:val="22"/>
        </w:rPr>
        <w:t xml:space="preserve">[Tool link to attach in Confluence: Data Modelling for Risk (parent page)]</w:t>
      </w:r>
    </w:p>
    <w:p>
      <w:pPr>
        <w:spacing w:after="40" w:before="40"/>
      </w:pPr>
      <w:r>
        <w:rPr>
          <w:sz w:val="22"/>
          <w:szCs w:val="22"/>
        </w:rPr>
        <w:t xml:space="preserve">🛠 </w:t>
      </w:r>
      <w:r>
        <w:rPr>
          <w:i/>
          <w:iCs/>
          <w:color w:val="2E5C8A"/>
          <w:sz w:val="22"/>
          <w:szCs w:val="22"/>
        </w:rPr>
        <w:t xml:space="preserve">[Tool link to attach in Confluence: Conformance — the longer view (snowflake vs denormalised physical options for collateral)]</w:t>
      </w:r>
    </w:p>
    <w:p>
      <w:pPr>
        <w:spacing w:after="40" w:before="40"/>
      </w:pPr>
      <w:r>
        <w:rPr>
          <w:sz w:val="22"/>
          <w:szCs w:val="22"/>
        </w:rPr>
        <w:t xml:space="preserve">🛠 </w:t>
      </w:r>
      <w:r>
        <w:rPr>
          <w:i/>
          <w:iCs/>
          <w:color w:val="2E5C8A"/>
          <w:sz w:val="22"/>
          <w:szCs w:val="22"/>
        </w:rPr>
        <w:t xml:space="preserve">[Tool link to attach in Confluence: From query-based to model-based consumption (semantic layer on top of the star schema)]</w:t>
      </w:r>
    </w:p>
    <w:p>
      <w:pPr>
        <w:spacing w:after="40" w:before="40"/>
      </w:pPr>
      <w:r>
        <w:rPr>
          <w:sz w:val="22"/>
          <w:szCs w:val="22"/>
        </w:rPr>
        <w:t xml:space="preserve">🛠 </w:t>
      </w:r>
      <w:r>
        <w:rPr>
          <w:i/>
          <w:iCs/>
          <w:color w:val="2E5C8A"/>
          <w:sz w:val="22"/>
          <w:szCs w:val="22"/>
        </w:rPr>
        <w:t xml:space="preserve">[Tool link to attach in Confluence: How the data contract gets built (publishing the collateral CSV files as governed data products)]</w:t>
      </w:r>
    </w:p>
    <w:p>
      <w:pPr>
        <w:spacing w:after="40" w:before="40"/>
      </w:pPr>
      <w:r>
        <w:rPr>
          <w:sz w:val="22"/>
          <w:szCs w:val="22"/>
        </w:rPr>
        <w:t xml:space="preserve">🛠 </w:t>
      </w:r>
      <w:r>
        <w:rPr>
          <w:i/>
          <w:iCs/>
          <w:color w:val="2E5C8A"/>
          <w:sz w:val="22"/>
          <w:szCs w:val="22"/>
        </w:rPr>
        <w:t xml:space="preserve">[Tool link to attach in Confluence: Worked example — Credit Curves (parallel worked example in a different domain)]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2">
    <w:name w:val="Heading 2"/>
    <w:basedOn w:val="Normal"/>
    <w:next w:val="Normal"/>
    <w:qFormat/>
    <w:pPr>
      <w:spacing w:after="160" w:before="320"/>
      <w:outlineLvl w:val="1"/>
    </w:pPr>
    <w:rPr>
      <w:rFonts w:ascii="Arial" w:cs="Arial" w:eastAsia="Arial" w:hAnsi="Arial"/>
      <w:b/>
      <w:bCs/>
      <w:color w:val="2E5C8A"/>
      <w:sz w:val="28"/>
      <w:szCs w:val="28"/>
    </w:rPr>
  </w:style>
  <w:style w:type="paragraph" w:styleId="Heading3">
    <w:name w:val="Heading 3"/>
    <w:basedOn w:val="Normal"/>
    <w:next w:val="Normal"/>
    <w:qFormat/>
    <w:pPr>
      <w:spacing w:after="100" w:before="240"/>
      <w:outlineLvl w:val="2"/>
    </w:pPr>
    <w:rPr>
      <w:rFonts w:ascii="Arial" w:cs="Arial" w:eastAsia="Arial" w:hAnsi="Arial"/>
      <w:b/>
      <w:bCs/>
      <w:color w:val="1E2A3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2026-05-23T12:32:44.489Z</dcterms:created>
  <dcterms:modified xsi:type="dcterms:W3CDTF">2026-05-23T12:32:44.501Z</dcterms:modified>
</cp:coreProperties>
</file>

<file path=docProps/custom.xml><?xml version="1.0" encoding="utf-8"?>
<Properties xmlns="http://schemas.openxmlformats.org/officeDocument/2006/custom-properties" xmlns:vt="http://schemas.openxmlformats.org/officeDocument/2006/docPropsVTypes"/>
</file>