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b/>
          <w:bCs/>
          <w:color w:val="2E5C8A"/>
          <w:sz w:val="44"/>
          <w:szCs w:val="44"/>
        </w:rPr>
        <w:t xml:space="preserve">Worked example — Credit Curves</w:t>
      </w:r>
    </w:p>
    <w:p>
      <w:pPr>
        <w:spacing w:after="120" w:before="0"/>
      </w:pPr>
      <w:r>
        <w:rPr>
          <w:i/>
          <w:iCs/>
          <w:color w:val="5B6B7D"/>
          <w:sz w:val="24"/>
          <w:szCs w:val="24"/>
        </w:rPr>
        <w:t xml:space="preserve">Sub-page of Data Modelling for Risk — the credit curve domain modelled end-to-end: logical model, star schema, OBT alternative, and what each one teaches</w:t>
      </w:r>
    </w:p>
    <w:p>
      <w:pPr>
        <w:pBdr>
          <w:bottom w:val="single" w:color="2E5C8A" w:sz="12" w:space="1"/>
        </w:pBdr>
        <w:spacing w:after="240" w:before="0"/>
      </w:pPr>
      <w:r>
        <w:t xml:space="preserve"/>
      </w:r>
    </w:p>
    <w:p>
      <w:pPr>
        <w:spacing w:after="80" w:before="80" w:line="300"/>
      </w:pPr>
      <w:r>
        <w:rPr>
          <w:sz w:val="22"/>
          <w:szCs w:val="22"/>
        </w:rPr>
        <w:t xml:space="preserve">This sub-page takes the credit curve domain and runs it through the modelling progression set out across this section. It is a parallel example to the Collateral sub-page, applied to a different domain — credit curves are the reference data that sits behind every CVA calculation, every capital charge that depends on counterparty creditworthiness, and every risk-based pricing decision.</w:t>
      </w:r>
    </w:p>
    <w:p>
      <w:pPr>
        <w:spacing w:after="80" w:before="80" w:line="300"/>
      </w:pPr>
      <w:r>
        <w:rPr>
          <w:sz w:val="22"/>
          <w:szCs w:val="22"/>
        </w:rPr>
        <w:t xml:space="preserve">The purpose is the same: show the modelling work as something concrete, with attributes, relationships, and grain decisions visible. Different domain, same modelling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What this page covers: </w:t>
            </w:r>
            <w:r>
              <w:rPr>
                <w:sz w:val="22"/>
                <w:szCs w:val="22"/>
              </w:rPr>
              <w:t xml:space="preserve">the logical domain model for credit curves with point-in-time mapping at its core, the analytical star schema with two facts and conformed dimensions, the OBT alternative and the problems it creates here specifically, and the conformance considerations that apply to reference data domains.</w:t>
            </w:r>
          </w:p>
        </w:tc>
      </w:tr>
    </w:tbl>
    <w:p>
      <w:pPr>
        <w:pStyle w:val="Heading2"/>
        <w:spacing w:after="160" w:before="320"/>
      </w:pPr>
      <w:r>
        <w:rPr>
          <w:b/>
          <w:bCs/>
          <w:color w:val="2E5C8A"/>
          <w:sz w:val="28"/>
          <w:szCs w:val="28"/>
        </w:rPr>
        <w:t xml:space="preserve">Why credit curves matter as a modelling example</w:t>
      </w:r>
    </w:p>
    <w:p>
      <w:pPr>
        <w:spacing w:after="80" w:before="80" w:line="300"/>
      </w:pPr>
      <w:r>
        <w:rPr>
          <w:sz w:val="22"/>
          <w:szCs w:val="22"/>
        </w:rPr>
        <w:t xml:space="preserve">Credit curves are a reference-data domain — they describe the world rather than recording events. The entities are interrelated through time and through indirection: a counterparty maps to a reference entity, which has a curve, which has tenor points carrying CDS spreads, hazard rates, and survival probabilities. Two things make this example pedagogically useful:</w:t>
      </w:r>
    </w:p>
    <w:p>
      <w:pPr>
        <w:pStyle w:val="ListParagraph"/>
        <w:numPr>
          <w:ilvl w:val="0"/>
          <w:numId w:val="2"/>
        </w:numPr>
        <w:spacing w:after="40" w:before="40" w:line="280"/>
      </w:pPr>
      <w:r>
        <w:rPr>
          <w:b/>
          <w:bCs/>
          <w:sz w:val="22"/>
          <w:szCs w:val="22"/>
        </w:rPr>
        <w:t xml:space="preserve">Point-in-time is central, not optional. </w:t>
      </w:r>
      <w:r>
        <w:rPr>
          <w:sz w:val="22"/>
          <w:szCs w:val="22"/>
        </w:rPr>
        <w:t xml:space="preserve">Today's CVA uses today's curve mapping. Back-testing last quarter requires last quarter's mapping. This forces the model to handle effective dates explicitly — which is a generally useful modelling move that becomes essential here.</w:t>
      </w:r>
    </w:p>
    <w:p>
      <w:pPr>
        <w:pStyle w:val="ListParagraph"/>
        <w:numPr>
          <w:ilvl w:val="0"/>
          <w:numId w:val="2"/>
        </w:numPr>
        <w:spacing w:after="40" w:before="40" w:line="280"/>
      </w:pPr>
      <w:r>
        <w:rPr>
          <w:b/>
          <w:bCs/>
          <w:sz w:val="22"/>
          <w:szCs w:val="22"/>
        </w:rPr>
        <w:t xml:space="preserve">Indirection is structural. </w:t>
      </w:r>
      <w:r>
        <w:rPr>
          <w:sz w:val="22"/>
          <w:szCs w:val="22"/>
        </w:rPr>
        <w:t xml:space="preserve">A counterparty is mapped to a reference entity (which may or may not be the counterparty itself, depending on whether direct CDS quotes exist), and the reference entity has the curve. Modelling this cleanly requires bridge entities; collapsing it loses critical information.</w:t>
      </w:r>
    </w:p>
    <w:p>
      <w:pPr>
        <w:pStyle w:val="Heading2"/>
        <w:spacing w:after="160" w:before="320"/>
      </w:pPr>
      <w:r>
        <w:rPr>
          <w:b/>
          <w:bCs/>
          <w:color w:val="2E5C8A"/>
          <w:sz w:val="28"/>
          <w:szCs w:val="28"/>
        </w:rPr>
        <w:t xml:space="preserve">The logical domain model</w:t>
      </w:r>
    </w:p>
    <w:p>
      <w:pPr>
        <w:spacing w:after="80" w:before="80" w:line="300"/>
      </w:pPr>
      <w:r>
        <w:rPr>
          <w:sz w:val="22"/>
          <w:szCs w:val="22"/>
        </w:rPr>
        <w:t xml:space="preserve">The credit curve domain has six core entities. Three describe the curve itself and its market context; three describe how counterparties get mapped to curves and how recoveries are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Logical domain model — credit curves ]</w:t>
            </w:r>
          </w:p>
          <w:p>
            <w:pPr>
              <w:spacing w:after="40" w:before="40"/>
            </w:pPr>
            <w:r>
              <w:rPr>
                <w:i/>
                <w:iCs/>
                <w:color w:val="5B6B7D"/>
                <w:sz w:val="20"/>
                <w:szCs w:val="20"/>
              </w:rPr>
              <w:t xml:space="preserve">Source: HTML reference doc — Figure 5a</w:t>
            </w:r>
          </w:p>
          <w:p>
            <w:pPr>
              <w:spacing w:after="40" w:before="40"/>
            </w:pPr>
            <w:r>
              <w:rPr>
                <w:color w:val="5B6B7D"/>
                <w:sz w:val="20"/>
                <w:szCs w:val="20"/>
              </w:rPr>
              <w:t xml:space="preserve">Six entities with relationships: Counterparty links via Counterparty Curve Mapping to Credit Curve, which describes a Reference Entity and has multiple Curve Tenor Points. Recovery Assumption is referenced by the mapping. As-Of Date anchors every curve point and every mapping.</w:t>
            </w:r>
          </w:p>
        </w:tc>
      </w:tr>
    </w:tbl>
    <w:p>
      <w:pPr>
        <w:pStyle w:val="Heading3"/>
        <w:spacing w:after="100" w:before="240"/>
      </w:pPr>
      <w:r>
        <w:rPr>
          <w:b/>
          <w:bCs/>
          <w:color w:val="1E2A38"/>
          <w:sz w:val="24"/>
          <w:szCs w:val="24"/>
        </w:rPr>
        <w:t xml:space="preserve">The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Entity</w:t>
            </w:r>
          </w:p>
        </w:tc>
        <w:tc>
          <w:tcPr>
            <w:tcW w:type="dxa" w:w="33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it represents</w:t>
            </w:r>
          </w:p>
        </w:tc>
        <w:tc>
          <w:tcPr>
            <w:tcW w:type="dxa" w:w="37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Key attributes</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w:t>
            </w:r>
          </w:p>
        </w:tc>
        <w:tc>
          <w:tcPr>
            <w:tcW w:type="dxa" w:w="33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The legal entity TD trades with or otherwise has exposure to. The starting point for curve assignment.</w:t>
            </w:r>
          </w:p>
        </w:tc>
        <w:tc>
          <w:tcPr>
            <w:tcW w:type="dxa" w:w="37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counterparty_id, lei, name, ultimate_parent_lei, sector, rating, region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Counterparty Curve Mapping</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The assignment of a curve to a counterparty, point-in-time, with effective dates and match type</w:t>
            </w:r>
          </w:p>
        </w:tc>
        <w:tc>
          <w:tcPr>
            <w:tcW w:type="dxa" w:w="37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mapping_id, counterparty_id, assigned_curve_id, match_type (direct | parent | proxy), recovery_assumption, effective_from, effective_to, steward</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Credit Curve</w:t>
            </w:r>
          </w:p>
        </w:tc>
        <w:tc>
          <w:tcPr>
            <w:tcW w:type="dxa" w:w="33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 term structure of default risk for an issuer. Several types exist.</w:t>
            </w:r>
          </w:p>
        </w:tc>
        <w:tc>
          <w:tcPr>
            <w:tcW w:type="dxa" w:w="37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curve_id, curve_type (single-name | proxy | override), reference_entity_id, source (Markit | internal | regression)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Reference Entity</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The issuer the curve describes. May be the counterparty itself, its parent, or a proxy reference entity used as a stand-in.</w:t>
            </w:r>
          </w:p>
        </w:tc>
        <w:tc>
          <w:tcPr>
            <w:tcW w:type="dxa" w:w="37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reference_entity_id, red_code_6digit, red_code_9digit (with tier), lei</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Curve Tenor Point</w:t>
            </w:r>
          </w:p>
        </w:tc>
        <w:tc>
          <w:tcPr>
            <w:tcW w:type="dxa" w:w="33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One tenor point on a curve at a point in time, carrying spread, hazard rate, and survival probability</w:t>
            </w:r>
          </w:p>
        </w:tc>
        <w:tc>
          <w:tcPr>
            <w:tcW w:type="dxa" w:w="37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curve_id, tenor (1Y/3Y/5Y/7Y/10Y), as_of_date, cds_spread_bp, hazard_rate, survival_probability</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Recovery Assumption</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The LGD assumption attached to the mapping. Convention is 40% recovery (60% LGD) for senior unsecured, 25% for subordinated.</w:t>
            </w:r>
          </w:p>
        </w:tc>
        <w:tc>
          <w:tcPr>
            <w:tcW w:type="dxa" w:w="37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debt_tier, recovery_rate, lgd</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As-Of Date</w:t>
            </w:r>
          </w:p>
        </w:tc>
        <w:tc>
          <w:tcPr>
            <w:tcW w:type="dxa" w:w="33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Point-in-time anchor for every relationship. Curves, mappings, and tenor points all reference an as-of date.</w:t>
            </w:r>
          </w:p>
        </w:tc>
        <w:tc>
          <w:tcPr>
            <w:tcW w:type="dxa" w:w="37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as_of_date, business_day_flag, market_close_time</w:t>
            </w:r>
          </w:p>
        </w:tc>
      </w:tr>
    </w:tbl>
    <w:p>
      <w:pPr>
        <w:pStyle w:val="Heading3"/>
        <w:spacing w:after="100" w:before="240"/>
      </w:pPr>
      <w:r>
        <w:rPr>
          <w:b/>
          <w:bCs/>
          <w:color w:val="1E2A38"/>
          <w:sz w:val="24"/>
          <w:szCs w:val="24"/>
        </w:rPr>
        <w:t xml:space="preserve">The mapping entity is the architectural centre</w:t>
      </w:r>
    </w:p>
    <w:p>
      <w:pPr>
        <w:spacing w:after="80" w:before="80" w:line="300"/>
      </w:pPr>
      <w:r>
        <w:rPr>
          <w:sz w:val="22"/>
          <w:szCs w:val="22"/>
        </w:rPr>
        <w:t xml:space="preserve">The Counterparty Curve Mapping entity does a lot of work in this model. Without it, the relationship between counterparties and curves would have to live somewhere else — in code, in scattered configuration files, in implicit query logic. With it, the relationship is governed:</w:t>
      </w:r>
    </w:p>
    <w:p>
      <w:pPr>
        <w:pStyle w:val="ListParagraph"/>
        <w:numPr>
          <w:ilvl w:val="0"/>
          <w:numId w:val="2"/>
        </w:numPr>
        <w:spacing w:after="40" w:before="40" w:line="280"/>
      </w:pPr>
      <w:r>
        <w:rPr>
          <w:b/>
          <w:bCs/>
          <w:sz w:val="22"/>
          <w:szCs w:val="22"/>
        </w:rPr>
        <w:t xml:space="preserve">Match type is explicit. </w:t>
      </w:r>
      <w:r>
        <w:rPr>
          <w:sz w:val="22"/>
          <w:szCs w:val="22"/>
        </w:rPr>
        <w:t xml:space="preserve">Each mapping records whether the curve came from a direct CDS reference (the counterparty itself trades), a parent inheritance (use the ultimate parent's curve), or a proxy assignment (no CDS anywhere; fall back to sector × rating × region). Consumers can filter on this; auditors can review it; quality measurement becomes possible.</w:t>
      </w:r>
    </w:p>
    <w:p>
      <w:pPr>
        <w:pStyle w:val="ListParagraph"/>
        <w:numPr>
          <w:ilvl w:val="0"/>
          <w:numId w:val="2"/>
        </w:numPr>
        <w:spacing w:after="40" w:before="40" w:line="280"/>
      </w:pPr>
      <w:r>
        <w:rPr>
          <w:b/>
          <w:bCs/>
          <w:sz w:val="22"/>
          <w:szCs w:val="22"/>
        </w:rPr>
        <w:t xml:space="preserve">Effective dating is explicit. </w:t>
      </w:r>
      <w:r>
        <w:rPr>
          <w:sz w:val="22"/>
          <w:szCs w:val="22"/>
        </w:rPr>
        <w:t xml:space="preserve">Each mapping has effective_from and effective_to. When RBC's curve assignment changes mid-quarter (parent restructuring, new CDS issuance, stewardship correction), the change is versioned. Historical reconstruction works.</w:t>
      </w:r>
    </w:p>
    <w:p>
      <w:pPr>
        <w:pStyle w:val="ListParagraph"/>
        <w:numPr>
          <w:ilvl w:val="0"/>
          <w:numId w:val="2"/>
        </w:numPr>
        <w:spacing w:after="40" w:before="40" w:line="280"/>
      </w:pPr>
      <w:r>
        <w:rPr>
          <w:b/>
          <w:bCs/>
          <w:sz w:val="22"/>
          <w:szCs w:val="22"/>
        </w:rPr>
        <w:t xml:space="preserve">Stewardship has an owner. </w:t>
      </w:r>
      <w:r>
        <w:rPr>
          <w:sz w:val="22"/>
          <w:szCs w:val="22"/>
        </w:rPr>
        <w:t xml:space="preserve">The steward column names who is accountable for each mapping. Manual overrides for corporate actions or gaps in Markit-LEI cross-reference have an owner.</w:t>
      </w:r>
    </w:p>
    <w:p>
      <w:pPr>
        <w:pStyle w:val="Heading3"/>
        <w:spacing w:after="100" w:before="240"/>
      </w:pPr>
      <w:r>
        <w:rPr>
          <w:b/>
          <w:bCs/>
          <w:color w:val="1E2A38"/>
          <w:sz w:val="24"/>
          <w:szCs w:val="24"/>
        </w:rPr>
        <w:t xml:space="preserve">What the domain model gives you</w:t>
      </w:r>
    </w:p>
    <w:p>
      <w:pPr>
        <w:pStyle w:val="ListParagraph"/>
        <w:numPr>
          <w:ilvl w:val="0"/>
          <w:numId w:val="2"/>
        </w:numPr>
        <w:spacing w:after="40" w:before="40" w:line="280"/>
      </w:pPr>
      <w:r>
        <w:rPr>
          <w:sz w:val="22"/>
          <w:szCs w:val="22"/>
        </w:rPr>
        <w:t xml:space="preserve">One governed definition of curve assignment — the mapping entity is the single source of truth for which curve any counterparty uses, point-in-time.</w:t>
      </w:r>
    </w:p>
    <w:p>
      <w:pPr>
        <w:pStyle w:val="ListParagraph"/>
        <w:numPr>
          <w:ilvl w:val="0"/>
          <w:numId w:val="2"/>
        </w:numPr>
        <w:spacing w:after="40" w:before="40" w:line="280"/>
      </w:pPr>
      <w:r>
        <w:rPr>
          <w:sz w:val="22"/>
          <w:szCs w:val="22"/>
        </w:rPr>
        <w:t xml:space="preserve">Reproducibility — yesterday's CVA can be recomputed because yesterday's mapping is still queryable.</w:t>
      </w:r>
    </w:p>
    <w:p>
      <w:pPr>
        <w:pStyle w:val="ListParagraph"/>
        <w:numPr>
          <w:ilvl w:val="0"/>
          <w:numId w:val="2"/>
        </w:numPr>
        <w:spacing w:after="40" w:before="40" w:line="280"/>
      </w:pPr>
      <w:r>
        <w:rPr>
          <w:sz w:val="22"/>
          <w:szCs w:val="22"/>
        </w:rPr>
        <w:t xml:space="preserve">Auditability — match types and stewards make it possible to answer questions like "what fraction of our CVA book is on proxy curves" or "who approved this mapping change."</w:t>
      </w:r>
    </w:p>
    <w:p>
      <w:pPr>
        <w:pStyle w:val="ListParagraph"/>
        <w:numPr>
          <w:ilvl w:val="0"/>
          <w:numId w:val="2"/>
        </w:numPr>
        <w:spacing w:after="40" w:before="40" w:line="280"/>
      </w:pPr>
      <w:r>
        <w:rPr>
          <w:sz w:val="22"/>
          <w:szCs w:val="22"/>
        </w:rPr>
        <w:t xml:space="preserve">Reference-entity decoupling — the curve describes a reference entity, not a counterparty directly. This separation lets parent-match and proxy-match work cleanly: the counterparty maps to a reference entity (its own, its parent's, or a proxy's), which has the curve.</w:t>
      </w:r>
    </w:p>
    <w:p>
      <w:pPr>
        <w:pStyle w:val="Heading2"/>
        <w:spacing w:after="160" w:before="320"/>
      </w:pPr>
      <w:r>
        <w:rPr>
          <w:b/>
          <w:bCs/>
          <w:color w:val="2E5C8A"/>
          <w:sz w:val="28"/>
          <w:szCs w:val="28"/>
        </w:rPr>
        <w:t xml:space="preserve">The analytical star schema</w:t>
      </w:r>
    </w:p>
    <w:p>
      <w:pPr>
        <w:spacing w:after="80" w:before="80" w:line="300"/>
      </w:pPr>
      <w:r>
        <w:rPr>
          <w:sz w:val="22"/>
          <w:szCs w:val="22"/>
        </w:rPr>
        <w:t xml:space="preserve">The domain model describes what credit curves are. The star schema describes how consumers query them. Two natural facts exist in this domain, each answering a different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Star schema — credit curves ]</w:t>
            </w:r>
          </w:p>
          <w:p>
            <w:pPr>
              <w:spacing w:after="40" w:before="40"/>
            </w:pPr>
            <w:r>
              <w:rPr>
                <w:i/>
                <w:iCs/>
                <w:color w:val="5B6B7D"/>
                <w:sz w:val="20"/>
                <w:szCs w:val="20"/>
              </w:rPr>
              <w:t xml:space="preserve">Source: HTML reference doc — Figure 5b</w:t>
            </w:r>
          </w:p>
          <w:p>
            <w:pPr>
              <w:spacing w:after="40" w:before="40"/>
            </w:pPr>
            <w:r>
              <w:rPr>
                <w:color w:val="5B6B7D"/>
                <w:sz w:val="20"/>
                <w:szCs w:val="20"/>
              </w:rPr>
              <w:t xml:space="preserve">Five conformed dimensions across the top (dim_counterparty, dim_curve, dim_reference_entity, dim_tenor, dim_date) and two facts below (fact_curve_points, fact_counterparty_pd), with each dimension referenced by each fact.</w:t>
            </w:r>
          </w:p>
        </w:tc>
      </w:tr>
    </w:tbl>
    <w:p>
      <w:pPr>
        <w:pStyle w:val="Heading3"/>
        <w:spacing w:after="100" w:before="240"/>
      </w:pPr>
      <w:r>
        <w:rPr>
          <w:b/>
          <w:bCs/>
          <w:color w:val="1E2A38"/>
          <w:sz w:val="24"/>
          <w:szCs w:val="24"/>
        </w:rPr>
        <w:t xml:space="preserve">The two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Fact table</w:t>
            </w:r>
          </w:p>
        </w:tc>
        <w:tc>
          <w:tcPr>
            <w:tcW w:type="dxa" w:w="28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Grain</w:t>
            </w:r>
          </w:p>
        </w:tc>
        <w:tc>
          <w:tcPr>
            <w:tcW w:type="dxa" w:w="37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it answers</w:t>
            </w:r>
          </w:p>
        </w:tc>
      </w:tr>
      <w:tr>
        <w:tc>
          <w:tcPr>
            <w:tcW w:type="dxa" w:w="28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fact_curve_points</w:t>
            </w:r>
          </w:p>
        </w:tc>
        <w:tc>
          <w:tcPr>
            <w:tcW w:type="dxa" w:w="28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Curve × tenor × as_of_date</w:t>
            </w:r>
          </w:p>
        </w:tc>
        <w:tc>
          <w:tcPr>
            <w:tcW w:type="dxa" w:w="37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Questions about the curves themselves. Where is RBC's 5Y CDS spread today? How has it moved over the last year? Is the term structure steepening? How does the BBB Industrials proxy curve compare to the names it's built from?</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fact_counterparty_pd</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Counterparty × tenor × as_of_date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Questions about applied PDs per counterparty. What PD did CVA use for RBC at the 3Y tenor yesterday? How does RBC's PD compare to peers in the same rating band? Where are PDs by sector drifting? What proportion of counterparties are on proxy curves at this snapshot?</w:t>
            </w:r>
          </w:p>
        </w:tc>
      </w:tr>
    </w:tbl>
    <w:p>
      <w:pPr>
        <w:pStyle w:val="Heading3"/>
        <w:spacing w:after="100" w:before="240"/>
      </w:pPr>
      <w:r>
        <w:rPr>
          <w:b/>
          <w:bCs/>
          <w:color w:val="1E2A38"/>
          <w:sz w:val="24"/>
          <w:szCs w:val="24"/>
        </w:rPr>
        <w:t xml:space="preserve">The conformed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Dimension</w:t>
            </w:r>
          </w:p>
        </w:tc>
        <w:tc>
          <w:tcPr>
            <w:tcW w:type="dxa" w:w="39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it carries</w:t>
            </w:r>
          </w:p>
        </w:tc>
        <w:tc>
          <w:tcPr>
            <w:tcW w:type="dxa" w:w="30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Joined to</w:t>
            </w:r>
          </w:p>
        </w:tc>
      </w:tr>
      <w:tr>
        <w:tc>
          <w:tcPr>
            <w:tcW w:type="dxa" w:w="2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dim_counterparty</w:t>
            </w:r>
          </w:p>
        </w:tc>
        <w:tc>
          <w:tcPr>
            <w:tcW w:type="dxa" w:w="39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counterparty_id, lei, name, parent_lei, sector, rating, region</w:t>
            </w:r>
          </w:p>
        </w:tc>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fact_counterparty_pd</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dim_curve</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curve_id, curve_type, reference_entity_id, source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fact_curve_points, fact_counterparty_pd (via applied_curve_id)</w:t>
            </w:r>
          </w:p>
        </w:tc>
      </w:tr>
      <w:tr>
        <w:tc>
          <w:tcPr>
            <w:tcW w:type="dxa" w:w="2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dim_reference_entity</w:t>
            </w:r>
          </w:p>
        </w:tc>
        <w:tc>
          <w:tcPr>
            <w:tcW w:type="dxa" w:w="39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reference_entity_id, red_6, red_9, debt_tier, lei</w:t>
            </w:r>
          </w:p>
        </w:tc>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fact_curve_points (indirectly via dim_curve)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dim_tenor</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tenor (1Y, 3Y, 5Y, 7Y, 10Y), years_numeric, bucket_label</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Both facts</w:t>
            </w:r>
          </w:p>
        </w:tc>
      </w:tr>
      <w:tr>
        <w:tc>
          <w:tcPr>
            <w:tcW w:type="dxa" w:w="2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dim_date</w:t>
            </w:r>
          </w:p>
        </w:tc>
        <w:tc>
          <w:tcPr>
            <w:tcW w:type="dxa" w:w="39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as_of_date, year, quarter, month, business_day_flag</w:t>
            </w:r>
          </w:p>
        </w:tc>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Both facts</w:t>
            </w:r>
          </w:p>
        </w:tc>
      </w:tr>
    </w:tbl>
    <w:p>
      <w:pPr>
        <w:spacing w:after="80" w:before="80" w:line="300"/>
      </w:pPr>
      <w:r>
        <w:rPr>
          <w:sz w:val="22"/>
          <w:szCs w:val="22"/>
        </w:rPr>
        <w:t xml:space="preserve">The same dimensions are shared with the collateral star schema where they overlap (dim_counterparty, dim_date) — which is the point of conformed dimensions. RBC is the same RBC whether the question is about exposure under a CSA or about its 5Y CDS spread.</w:t>
      </w:r>
    </w:p>
    <w:p>
      <w:pPr>
        <w:pStyle w:val="Heading3"/>
        <w:spacing w:after="100" w:before="240"/>
      </w:pPr>
      <w:r>
        <w:rPr>
          <w:b/>
          <w:bCs/>
          <w:color w:val="1E2A38"/>
          <w:sz w:val="24"/>
          <w:szCs w:val="24"/>
        </w:rPr>
        <w:t xml:space="preserve">What the star schema gives you</w:t>
      </w:r>
    </w:p>
    <w:p>
      <w:pPr>
        <w:pStyle w:val="ListParagraph"/>
        <w:numPr>
          <w:ilvl w:val="0"/>
          <w:numId w:val="2"/>
        </w:numPr>
        <w:spacing w:after="40" w:before="40" w:line="280"/>
      </w:pPr>
      <w:r>
        <w:rPr>
          <w:sz w:val="22"/>
          <w:szCs w:val="22"/>
        </w:rPr>
        <w:t xml:space="preserve">Cross-fact analysis is safe — joining fact_counterparty_pd to fact_curve_points via shared curve_id lets a consumer see both the applied PD and the underlying curve's tenor points in one query.</w:t>
      </w:r>
    </w:p>
    <w:p>
      <w:pPr>
        <w:pStyle w:val="ListParagraph"/>
        <w:numPr>
          <w:ilvl w:val="0"/>
          <w:numId w:val="2"/>
        </w:numPr>
        <w:spacing w:after="40" w:before="40" w:line="280"/>
      </w:pPr>
      <w:r>
        <w:rPr>
          <w:sz w:val="22"/>
          <w:szCs w:val="22"/>
        </w:rPr>
        <w:t xml:space="preserve">Drill paths are explicit — from a counterparty up to its parent, from a curve to its reference entity, from a reference entity to its sector. Each dimension carries the hierarchy.</w:t>
      </w:r>
    </w:p>
    <w:p>
      <w:pPr>
        <w:pStyle w:val="ListParagraph"/>
        <w:numPr>
          <w:ilvl w:val="0"/>
          <w:numId w:val="2"/>
        </w:numPr>
        <w:spacing w:after="40" w:before="40" w:line="280"/>
      </w:pPr>
      <w:r>
        <w:rPr>
          <w:sz w:val="22"/>
          <w:szCs w:val="22"/>
        </w:rPr>
        <w:t xml:space="preserve">Time semantics are uniform — every fact joins to dim_date and respects the same business-day calendar. Comparing curves across dates uses one date dimension definition.</w:t>
      </w:r>
    </w:p>
    <w:p>
      <w:pPr>
        <w:pStyle w:val="ListParagraph"/>
        <w:numPr>
          <w:ilvl w:val="0"/>
          <w:numId w:val="2"/>
        </w:numPr>
        <w:spacing w:after="40" w:before="40" w:line="280"/>
      </w:pPr>
      <w:r>
        <w:rPr>
          <w:sz w:val="22"/>
          <w:szCs w:val="22"/>
        </w:rPr>
        <w:t xml:space="preserve">Match type as a degenerate dimension on fact_counterparty_pd lets analysts ask "what percentage of CVA-relevant PDs are on proxy curves?" without any additional modelling work.</w:t>
      </w:r>
    </w:p>
    <w:p>
      <w:pPr>
        <w:pStyle w:val="Heading2"/>
        <w:spacing w:after="160" w:before="320"/>
      </w:pPr>
      <w:r>
        <w:rPr>
          <w:b/>
          <w:bCs/>
          <w:color w:val="2E5C8A"/>
          <w:sz w:val="28"/>
          <w:szCs w:val="28"/>
        </w:rPr>
        <w:t xml:space="preserve">The OBT alternative — and the problems it creates</w:t>
      </w:r>
    </w:p>
    <w:p>
      <w:pPr>
        <w:spacing w:after="80" w:before="80" w:line="300"/>
      </w:pPr>
      <w:r>
        <w:rPr>
          <w:sz w:val="22"/>
          <w:szCs w:val="22"/>
        </w:rPr>
        <w:t xml:space="preserve">As with the collateral example, it is tempting to publish credit curve data as one wide flat table. This section shows what that would look like and the problems specific to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OBT representation — credit curve domain collapsed into one wide table ]</w:t>
            </w:r>
          </w:p>
          <w:p>
            <w:pPr>
              <w:spacing w:after="40" w:before="40"/>
            </w:pPr>
            <w:r>
              <w:rPr>
                <w:i/>
                <w:iCs/>
                <w:color w:val="5B6B7D"/>
                <w:sz w:val="20"/>
                <w:szCs w:val="20"/>
              </w:rPr>
              <w:t xml:space="preserve">Source: To be created — see description below</w:t>
            </w:r>
          </w:p>
          <w:p>
            <w:pPr>
              <w:spacing w:after="40" w:before="40"/>
            </w:pPr>
            <w:r>
              <w:rPr>
                <w:color w:val="5B6B7D"/>
                <w:sz w:val="20"/>
                <w:szCs w:val="20"/>
              </w:rPr>
              <w:t xml:space="preserve">One wide table 'credit_curve_obt' with all attributes from Counterparty, Counterparty Curve Mapping, Credit Curve, Reference Entity, Curve Tenor Point, Recovery Assumption combined into one row per (counterparty × tenor × as_of_date). Below the diagram: notes on grain ambiguity, point-in-time mapping changes being unversioned, and the indirect-relationship problems specific to credit curves.</w:t>
            </w:r>
          </w:p>
        </w:tc>
      </w:tr>
    </w:tbl>
    <w:p>
      <w:pPr>
        <w:spacing w:after="80" w:before="80" w:line="300"/>
      </w:pPr>
      <w:r>
        <w:rPr>
          <w:sz w:val="22"/>
          <w:szCs w:val="22"/>
        </w:rPr>
        <w:t xml:space="preserve">In the OBT view, each row contains a counterparty, its assigned curve, the curve's reference entity, the recovery assumption, the tenor, the date, the CDS spread, the hazard rate, the survival probability, the applied PD, the LGD, and the match type — all flattened together. The problems differ in flavour from the collateral OBT but apply with equal force.</w:t>
      </w:r>
    </w:p>
    <w:p>
      <w:pPr>
        <w:pStyle w:val="Heading3"/>
        <w:spacing w:after="100" w:before="240"/>
      </w:pPr>
      <w:r>
        <w:rPr>
          <w:b/>
          <w:bCs/>
          <w:color w:val="1E2A38"/>
          <w:sz w:val="24"/>
          <w:szCs w:val="24"/>
        </w:rPr>
        <w:t xml:space="preserve">Problem 1 — Point-in-time mapping changes are unversioned</w:t>
      </w:r>
    </w:p>
    <w:p>
      <w:pPr>
        <w:spacing w:after="80" w:before="80" w:line="300"/>
      </w:pPr>
      <w:r>
        <w:rPr>
          <w:sz w:val="22"/>
          <w:szCs w:val="22"/>
        </w:rPr>
        <w:t xml:space="preserve">The mapping entity in the domain model has effective_from and effective_to columns. When RBC's mapping changes mid-quarter — for instance, when a new direct CDS contract starts trading and the assignment moves from proxy to direct — the change is captured as a new mapping record with the appropriate effective dates.</w:t>
      </w:r>
    </w:p>
    <w:p>
      <w:pPr>
        <w:spacing w:after="80" w:before="80" w:line="300"/>
      </w:pPr>
      <w:r>
        <w:rPr>
          <w:sz w:val="22"/>
          <w:szCs w:val="22"/>
        </w:rPr>
        <w:t xml:space="preserve">In the OBT, this becomes one row per (counterparty × tenor × as_of_date), so the mapping change appears as a value difference between two rows on adjacent dates. There is no "mapping object" with its own lifecycle. Asking "when did RBC's mapping last change" requires scanning across dates and inferring the change from value differences. Asking "who approved this change" loses the steward attribution because the OBT carries it inline at the row level (if at all) rather than at the mapping level.</w:t>
      </w:r>
    </w:p>
    <w:p>
      <w:pPr>
        <w:pStyle w:val="Heading3"/>
        <w:spacing w:after="100" w:before="240"/>
      </w:pPr>
      <w:r>
        <w:rPr>
          <w:b/>
          <w:bCs/>
          <w:color w:val="1E2A38"/>
          <w:sz w:val="24"/>
          <w:szCs w:val="24"/>
        </w:rPr>
        <w:t xml:space="preserve">Problem 2 — Reference entity indirection collapses</w:t>
      </w:r>
    </w:p>
    <w:p>
      <w:pPr>
        <w:spacing w:after="80" w:before="80" w:line="300"/>
      </w:pPr>
      <w:r>
        <w:rPr>
          <w:sz w:val="22"/>
          <w:szCs w:val="22"/>
        </w:rPr>
        <w:t xml:space="preserve">In the domain model, RBC (counterparty) → RBC (reference entity) → curve_id_xyz is a transparent three-step relationship. For Central 1 Credit Union (counterparty, no direct CDS) → parent-bank (reference entity) → curve_id_abc, the same three-step relationship resolves through the parent.</w:t>
      </w:r>
    </w:p>
    <w:p>
      <w:pPr>
        <w:spacing w:after="80" w:before="80" w:line="300"/>
      </w:pPr>
      <w:r>
        <w:rPr>
          <w:sz w:val="22"/>
          <w:szCs w:val="22"/>
        </w:rPr>
        <w:t xml:space="preserve">In the OBT, the reference entity attributes appear inline alongside the counterparty attributes. A Central 1 row carries the parent bank's RED codes; the relationship between Central 1 (the counterparty) and the parent bank (the reference entity whose curve is being used) is implicit. A naive consumer reading the row might conclude that Central 1 has direct CDS quotes, when in fact the row is showing parent-derived values.</w:t>
      </w:r>
    </w:p>
    <w:p>
      <w:pPr>
        <w:pStyle w:val="Heading3"/>
        <w:spacing w:after="100" w:before="240"/>
      </w:pPr>
      <w:r>
        <w:rPr>
          <w:b/>
          <w:bCs/>
          <w:color w:val="1E2A38"/>
          <w:sz w:val="24"/>
          <w:szCs w:val="24"/>
        </w:rPr>
        <w:t xml:space="preserve">Problem 3 — The two facts collapse together</w:t>
      </w:r>
    </w:p>
    <w:p>
      <w:pPr>
        <w:spacing w:after="80" w:before="80" w:line="300"/>
      </w:pPr>
      <w:r>
        <w:rPr>
          <w:sz w:val="22"/>
          <w:szCs w:val="22"/>
        </w:rPr>
        <w:t xml:space="preserve">The star schema separates fact_curve_points (one row per curve × tenor × date) from fact_counterparty_pd (one row per counterparty × tenor × date). These are at different grains and serve different analytical questions.</w:t>
      </w:r>
    </w:p>
    <w:p>
      <w:pPr>
        <w:spacing w:after="80" w:before="80" w:line="300"/>
      </w:pPr>
      <w:r>
        <w:rPr>
          <w:sz w:val="22"/>
          <w:szCs w:val="22"/>
        </w:rPr>
        <w:t xml:space="preserve">In the OBT, they merge. Every counterparty row carries the underlying curve's tenor point data. If three counterparties share the same proxy curve, each one of them has rows duplicating the same curve's hazard rates and survival probabilities. The same numerical value of (say) the BBB Industrials Europe 5Y hazard rate appears in three thousand counterparty rows, leading to the same storage and integrity problems as the collateral OBT — multiplied by the cardinality of the mapping.</w:t>
      </w:r>
    </w:p>
    <w:p>
      <w:pPr>
        <w:pStyle w:val="Heading3"/>
        <w:spacing w:after="100" w:before="240"/>
      </w:pPr>
      <w:r>
        <w:rPr>
          <w:b/>
          <w:bCs/>
          <w:color w:val="1E2A38"/>
          <w:sz w:val="24"/>
          <w:szCs w:val="24"/>
        </w:rPr>
        <w:t xml:space="preserve">Problem 4 — Match type ambiguity</w:t>
      </w:r>
    </w:p>
    <w:p>
      <w:pPr>
        <w:spacing w:after="80" w:before="80" w:line="300"/>
      </w:pPr>
      <w:r>
        <w:rPr>
          <w:sz w:val="22"/>
          <w:szCs w:val="22"/>
        </w:rPr>
        <w:t xml:space="preserve">In the star schema, match_type is a degenerate dimension on fact_counterparty_pd. Filtering by match_type = 'proxy' returns the rows where the PD was derived via a proxy curve, regardless of which proxy curve.</w:t>
      </w:r>
    </w:p>
    <w:p>
      <w:pPr>
        <w:spacing w:after="80" w:before="80" w:line="300"/>
      </w:pPr>
      <w:r>
        <w:rPr>
          <w:sz w:val="22"/>
          <w:szCs w:val="22"/>
        </w:rPr>
        <w:t xml:space="preserve">In the OBT, match_type is just a column. Counting "how many counterparties are on proxy curves at the end of last quarter" requires the consumer to write COUNT(DISTINCT counterparty_id) with appropriate filters — which is brittle because the same counterparty appears in many rows across tenors and dates. Getting the count right requires understanding the row structure precisely; getting it wrong is easy.</w:t>
      </w:r>
    </w:p>
    <w:p>
      <w:pPr>
        <w:pStyle w:val="Heading3"/>
        <w:spacing w:after="100" w:before="240"/>
      </w:pPr>
      <w:r>
        <w:rPr>
          <w:b/>
          <w:bCs/>
          <w:color w:val="1E2A38"/>
          <w:sz w:val="24"/>
          <w:szCs w:val="24"/>
        </w:rPr>
        <w:t xml:space="preserve">Problem 5 — Stewardship and audit history disappear</w:t>
      </w:r>
    </w:p>
    <w:p>
      <w:pPr>
        <w:spacing w:after="80" w:before="80" w:line="300"/>
      </w:pPr>
      <w:r>
        <w:rPr>
          <w:sz w:val="22"/>
          <w:szCs w:val="22"/>
        </w:rPr>
        <w:t xml:space="preserve">The mapping entity carries a steward and (with type-2 SCD or change-log handling) an audit history of who changed what when. The OBT cannot carry this cleanly. The change history of "RBC's mapping was modified by Marie on March 15 because of a parent restructuring" has to live somewhere outside the OBT — either in change logs not joined to the data, or lost entirely.</w:t>
      </w:r>
    </w:p>
    <w:p>
      <w:pPr>
        <w:spacing w:after="80" w:before="80" w:line="300"/>
      </w:pPr>
      <w:r>
        <w:rPr>
          <w:sz w:val="22"/>
          <w:szCs w:val="22"/>
        </w:rPr>
        <w:t xml:space="preserve">For a regulated function like CVA, this is more than a modelling inconvenience. It is an audit-trail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Why this matters here specifically. </w:t>
            </w:r>
            <w:r>
              <w:rPr>
                <w:sz w:val="22"/>
                <w:szCs w:val="22"/>
              </w:rPr>
              <w:t xml:space="preserve">Credit curve data sits behind CVA, behind capital charges, behind regulatory reporting. The point-in-time correctness and the audit trail are not nice-to-haves — they are how the bank demonstrates that yesterday's regulatory report was based on yesterday's data correctly applied. An OBT that loses the mapping versioning and the steward attribution gets audited adversely.</w:t>
            </w:r>
          </w:p>
        </w:tc>
      </w:tr>
    </w:tbl>
    <w:p>
      <w:pPr>
        <w:pStyle w:val="Heading3"/>
        <w:spacing w:after="100" w:before="240"/>
      </w:pPr>
      <w:r>
        <w:rPr>
          <w:b/>
          <w:bCs/>
          <w:color w:val="1E2A38"/>
          <w:sz w:val="24"/>
          <w:szCs w:val="24"/>
        </w:rPr>
        <w:t xml:space="preserve">The role of OBTs for credit curve data, in context</w:t>
      </w:r>
    </w:p>
    <w:p>
      <w:pPr>
        <w:spacing w:after="80" w:before="80" w:line="300"/>
      </w:pPr>
      <w:r>
        <w:rPr>
          <w:sz w:val="22"/>
          <w:szCs w:val="22"/>
        </w:rPr>
        <w:t xml:space="preserve">There is one place an OBT makes sense for this domain: as a flattened daily snapshot extract for downstream consumers who cannot or will not perform joins — for instance, a regulatory submission file that demands one row per (counterparty × tenor × date) with all attributes in line. In that case, the OBT is the publication output, materialised from the underlying star schema each day. The governed model exists underneath; the OBT is a view on top, not a substitute.</w:t>
      </w:r>
    </w:p>
    <w:p>
      <w:pPr>
        <w:spacing w:after="80" w:before="80" w:line="300"/>
      </w:pPr>
      <w:r>
        <w:rPr>
          <w:sz w:val="22"/>
          <w:szCs w:val="22"/>
        </w:rPr>
        <w:t xml:space="preserve">When the OBT is the only thing that exists, all of the problems above apply, and the cost of recovering the model later is significant.</w:t>
      </w:r>
    </w:p>
    <w:p>
      <w:pPr>
        <w:pStyle w:val="Heading2"/>
        <w:spacing w:after="160" w:before="320"/>
      </w:pPr>
      <w:r>
        <w:rPr>
          <w:b/>
          <w:bCs/>
          <w:color w:val="2E5C8A"/>
          <w:sz w:val="28"/>
          <w:szCs w:val="28"/>
        </w:rPr>
        <w:t xml:space="preserve">The three views,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20"/>
        <w:gridCol w:w="2400"/>
        <w:gridCol w:w="1940"/>
      </w:tblGrid>
      <w:tr>
        <w:tc>
          <w:tcPr>
            <w:tcW w:type="dxa" w:w="22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
            </w:r>
          </w:p>
        </w:tc>
        <w:tc>
          <w:tcPr>
            <w:tcW w:type="dxa" w:w="282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Logical domain model</w:t>
            </w:r>
          </w:p>
        </w:tc>
        <w:tc>
          <w:tcPr>
            <w:tcW w:type="dxa" w:w="24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Star schema</w:t>
            </w:r>
          </w:p>
        </w:tc>
        <w:tc>
          <w:tcPr>
            <w:tcW w:type="dxa" w:w="194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OBT</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What it describes</w:t>
            </w:r>
          </w:p>
        </w:tc>
        <w:tc>
          <w:tcPr>
            <w:tcW w:type="dxa" w:w="282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What exists in the domain</w:t>
            </w:r>
          </w:p>
        </w:tc>
        <w:tc>
          <w:tcPr>
            <w:tcW w:type="dxa" w:w="2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How to query the domain analytically</w:t>
            </w:r>
          </w:p>
        </w:tc>
        <w:tc>
          <w:tcPr>
            <w:tcW w:type="dxa" w:w="194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Everything flattened into one shape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Number of objects</w:t>
            </w:r>
          </w:p>
        </w:tc>
        <w:tc>
          <w:tcPr>
            <w:tcW w:type="dxa" w:w="28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Six entities with explicit relationships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Two facts + five conformed dimensions</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One wide table</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Point-in-time handling</w:t>
            </w:r>
          </w:p>
        </w:tc>
        <w:tc>
          <w:tcPr>
            <w:tcW w:type="dxa" w:w="282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Explicit via effective dates on the mapping entity</w:t>
            </w:r>
          </w:p>
        </w:tc>
        <w:tc>
          <w:tcPr>
            <w:tcW w:type="dxa" w:w="2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Type-2 SCD on dimensions; as_of_date on facts</w:t>
            </w:r>
          </w:p>
        </w:tc>
        <w:tc>
          <w:tcPr>
            <w:tcW w:type="dxa" w:w="194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Inline date column; mapping changes inferred from value differences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Audit / stewardship</w:t>
            </w:r>
          </w:p>
        </w:tc>
        <w:tc>
          <w:tcPr>
            <w:tcW w:type="dxa" w:w="28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Steward attribution on the mapping entity</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Steward as a dimension attribute or degenerate dimension</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Inline column at best; often lost</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Indirection (counterparty → reference entity → curve)</w:t>
            </w:r>
          </w:p>
        </w:tc>
        <w:tc>
          <w:tcPr>
            <w:tcW w:type="dxa" w:w="282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Three entities, explicit relationships</w:t>
            </w:r>
          </w:p>
        </w:tc>
        <w:tc>
          <w:tcPr>
            <w:tcW w:type="dxa" w:w="2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Three dimensions, joined via foreign keys</w:t>
            </w:r>
          </w:p>
        </w:tc>
        <w:tc>
          <w:tcPr>
            <w:tcW w:type="dxa" w:w="194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All inline; the indirection collapses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Cross-fact analysis</w:t>
            </w:r>
          </w:p>
        </w:tc>
        <w:tc>
          <w:tcPr>
            <w:tcW w:type="dxa" w:w="28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N/A — describes structure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Safe — fact_curve_points and fact_counterparty_pd share dimensions</w:t>
            </w:r>
          </w:p>
        </w:tc>
        <w:tc>
          <w:tcPr>
            <w:tcW w:type="dxa" w:w="19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Both facts merged; double-counting risks</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Best for</w:t>
            </w:r>
          </w:p>
        </w:tc>
        <w:tc>
          <w:tcPr>
            <w:tcW w:type="dxa" w:w="282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Domain understanding, governance, contribution to enterprise canonical</w:t>
            </w:r>
          </w:p>
        </w:tc>
        <w:tc>
          <w:tcPr>
            <w:tcW w:type="dxa" w:w="2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Analytical querying, CVA inputs, dashboards</w:t>
            </w:r>
          </w:p>
        </w:tc>
        <w:tc>
          <w:tcPr>
            <w:tcW w:type="dxa" w:w="194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Specific publication formats with a star schema underneath</w:t>
            </w:r>
          </w:p>
        </w:tc>
      </w:tr>
    </w:tbl>
    <w:p>
      <w:pPr>
        <w:pStyle w:val="Heading2"/>
        <w:spacing w:after="160" w:before="320"/>
      </w:pPr>
      <w:r>
        <w:rPr>
          <w:b/>
          <w:bCs/>
          <w:color w:val="2E5C8A"/>
          <w:sz w:val="28"/>
          <w:szCs w:val="28"/>
        </w:rPr>
        <w:t xml:space="preserve">Conformance considerations for this domain</w:t>
      </w:r>
    </w:p>
    <w:p>
      <w:pPr>
        <w:spacing w:after="80" w:before="80" w:line="300"/>
      </w:pPr>
      <w:r>
        <w:rPr>
          <w:sz w:val="22"/>
          <w:szCs w:val="22"/>
        </w:rPr>
        <w:t xml:space="preserve">Credit curves exhibit the same conformance patterns covered in detail on the Conformance sub-page, with some domain-specific flavour:</w:t>
      </w:r>
    </w:p>
    <w:p>
      <w:pPr>
        <w:pStyle w:val="Heading3"/>
        <w:spacing w:after="100" w:before="240"/>
      </w:pPr>
      <w:r>
        <w:rPr>
          <w:b/>
          <w:bCs/>
          <w:color w:val="1E2A38"/>
          <w:sz w:val="24"/>
          <w:szCs w:val="24"/>
        </w:rPr>
        <w:t xml:space="preserve">Classification variance</w:t>
      </w:r>
    </w:p>
    <w:p>
      <w:pPr>
        <w:spacing w:after="80" w:before="80" w:line="300"/>
      </w:pPr>
      <w:r>
        <w:rPr>
          <w:sz w:val="22"/>
          <w:szCs w:val="22"/>
        </w:rPr>
        <w:t xml:space="preserve">The same counterparty can be mapped to a single-name curve in one system and a proxy curve in another, depending on each system's data freshness and stewardship cadence. Conformance requires declaring which mapping each consumer uses and binding to it explicitly. This is the same pattern as the asset-class variants — same logical thing, multiple legitimate representations, conformance done by attaching the rule explicitly.</w:t>
      </w:r>
    </w:p>
    <w:p>
      <w:pPr>
        <w:pStyle w:val="Heading3"/>
        <w:spacing w:after="100" w:before="240"/>
      </w:pPr>
      <w:r>
        <w:rPr>
          <w:b/>
          <w:bCs/>
          <w:color w:val="1E2A38"/>
          <w:sz w:val="24"/>
          <w:szCs w:val="24"/>
        </w:rPr>
        <w:t xml:space="preserve">Sourcing variance</w:t>
      </w:r>
    </w:p>
    <w:p>
      <w:pPr>
        <w:spacing w:after="80" w:before="80" w:line="300"/>
      </w:pPr>
      <w:r>
        <w:rPr>
          <w:sz w:val="22"/>
          <w:szCs w:val="22"/>
        </w:rPr>
        <w:t xml:space="preserve">The cross-reference between counterparty LEI and Markit RED code is non-trivial. Some applications source it from Markit directly; some from an internal stewardship layer; some from a vendor enrichment service. The same fallback story that applies to CUSIP applies here: declare what each application uses, including the fallback chain, in the sourcing contract.</w:t>
      </w:r>
    </w:p>
    <w:p>
      <w:pPr>
        <w:pStyle w:val="Heading3"/>
        <w:spacing w:after="100" w:before="240"/>
      </w:pPr>
      <w:r>
        <w:rPr>
          <w:b/>
          <w:bCs/>
          <w:color w:val="1E2A38"/>
          <w:sz w:val="24"/>
          <w:szCs w:val="24"/>
        </w:rPr>
        <w:t xml:space="preserve">Point-in-time as a conformance property</w:t>
      </w:r>
    </w:p>
    <w:p>
      <w:pPr>
        <w:spacing w:after="80" w:before="80" w:line="300"/>
      </w:pPr>
      <w:r>
        <w:rPr>
          <w:sz w:val="22"/>
          <w:szCs w:val="22"/>
        </w:rPr>
        <w:t xml:space="preserve">Today's CVA uses today's mapping. Yesterday's CVA must be reconstructable from yesterday's mapping. Two systems claiming to "use the same credit curve for RBC" must mean the same thing point-in-time, not the same thing today reading from each system's current state. This is a stronger condition than ordinary conformance and is what makes the effective_from/effective_to columns on the mapping entity essential rather than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The reusable point. </w:t>
            </w:r>
            <w:r>
              <w:rPr>
                <w:sz w:val="22"/>
                <w:szCs w:val="22"/>
              </w:rPr>
              <w:t xml:space="preserve">The progression on display in this worked example — logical domain model, star schema, OBT comparison, conformance considerations — applies to any risk reference domain: security master, party master, agreement reference, market data curves. The specific entities differ; the modelling moves do not. The same three artefacts get built, in roughly the same order, with conformance running through all three.</w:t>
            </w:r>
          </w:p>
        </w:tc>
      </w:tr>
    </w:tbl>
    <w:p>
      <w:pPr>
        <w:pStyle w:val="Heading2"/>
        <w:spacing w:after="160" w:before="320"/>
      </w:pPr>
      <w:r>
        <w:rPr>
          <w:b/>
          <w:bCs/>
          <w:color w:val="2E5C8A"/>
          <w:sz w:val="28"/>
          <w:szCs w:val="28"/>
        </w:rPr>
        <w:t xml:space="preserve">Related pages</w:t>
      </w:r>
    </w:p>
    <w:p>
      <w:pPr>
        <w:spacing w:after="40" w:before="40"/>
      </w:pPr>
      <w:r>
        <w:rPr>
          <w:sz w:val="22"/>
          <w:szCs w:val="22"/>
        </w:rPr>
        <w:t xml:space="preserve">🛠 </w:t>
      </w:r>
      <w:r>
        <w:rPr>
          <w:i/>
          <w:iCs/>
          <w:color w:val="2E5C8A"/>
          <w:sz w:val="22"/>
          <w:szCs w:val="22"/>
        </w:rPr>
        <w:t xml:space="preserve">[Tool link to attach in Confluence: Data Modelling for Risk (parent page)]</w:t>
      </w:r>
    </w:p>
    <w:p>
      <w:pPr>
        <w:spacing w:after="40" w:before="40"/>
      </w:pPr>
      <w:r>
        <w:rPr>
          <w:sz w:val="22"/>
          <w:szCs w:val="22"/>
        </w:rPr>
        <w:t xml:space="preserve">🛠 </w:t>
      </w:r>
      <w:r>
        <w:rPr>
          <w:i/>
          <w:iCs/>
          <w:color w:val="2E5C8A"/>
          <w:sz w:val="22"/>
          <w:szCs w:val="22"/>
        </w:rPr>
        <w:t xml:space="preserve">[Tool link to attach in Confluence: Conformance — the longer view]</w:t>
      </w:r>
    </w:p>
    <w:p>
      <w:pPr>
        <w:spacing w:after="40" w:before="40"/>
      </w:pPr>
      <w:r>
        <w:rPr>
          <w:sz w:val="22"/>
          <w:szCs w:val="22"/>
        </w:rPr>
        <w:t xml:space="preserve">🛠 </w:t>
      </w:r>
      <w:r>
        <w:rPr>
          <w:i/>
          <w:iCs/>
          <w:color w:val="2E5C8A"/>
          <w:sz w:val="22"/>
          <w:szCs w:val="22"/>
        </w:rPr>
        <w:t xml:space="preserve">[Tool link to attach in Confluence: Worked example — Collateral (parallel worked example)]</w:t>
      </w:r>
    </w:p>
    <w:p>
      <w:pPr>
        <w:spacing w:after="40" w:before="40"/>
      </w:pPr>
      <w:r>
        <w:rPr>
          <w:sz w:val="22"/>
          <w:szCs w:val="22"/>
        </w:rPr>
        <w:t xml:space="preserve">🛠 </w:t>
      </w:r>
      <w:r>
        <w:rPr>
          <w:i/>
          <w:iCs/>
          <w:color w:val="2E5C8A"/>
          <w:sz w:val="22"/>
          <w:szCs w:val="22"/>
        </w:rPr>
        <w:t xml:space="preserve">[Tool link to attach in Confluence: From query-based to model-based consumption]</w:t>
      </w:r>
    </w:p>
    <w:p>
      <w:pPr>
        <w:spacing w:after="40" w:before="40"/>
      </w:pPr>
      <w:r>
        <w:rPr>
          <w:sz w:val="22"/>
          <w:szCs w:val="22"/>
        </w:rPr>
        <w:t xml:space="preserve">🛠 </w:t>
      </w:r>
      <w:r>
        <w:rPr>
          <w:i/>
          <w:iCs/>
          <w:color w:val="2E5C8A"/>
          <w:sz w:val="22"/>
          <w:szCs w:val="22"/>
        </w:rPr>
        <w:t xml:space="preserve">[Tool link to attach in Confluence: How the data contract gets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2026-05-23T12:34:39.242Z</dcterms:created>
  <dcterms:modified xsi:type="dcterms:W3CDTF">2026-05-23T12:34:39.242Z</dcterms:modified>
</cp:coreProperties>
</file>

<file path=docProps/custom.xml><?xml version="1.0" encoding="utf-8"?>
<Properties xmlns="http://schemas.openxmlformats.org/officeDocument/2006/custom-properties" xmlns:vt="http://schemas.openxmlformats.org/officeDocument/2006/docPropsVTypes"/>
</file>