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76B2C"/>
          <w:sz w:val="36"/>
          <w:szCs w:val="36"/>
        </w:rPr>
        <w:t xml:space="preserve">Standards &amp; Artifacts Library — Additions for v7</w:t>
      </w:r>
    </w:p>
    <w:p>
      <w:pPr>
        <w:spacing w:after="280"/>
        <w:jc w:val="center"/>
      </w:pPr>
      <w:r>
        <w:rPr>
          <w:i/>
          <w:iCs/>
          <w:color w:val="595959"/>
          <w:sz w:val="22"/>
          <w:szCs w:val="22"/>
        </w:rPr>
        <w:t xml:space="preserve">Section H additions · New Section I · Section F naming update · Tag clarity renames (v6.1)</w:t>
      </w:r>
    </w:p>
    <w:p>
      <w:pPr>
        <w:spacing w:after="100" w:before="100"/>
      </w:pPr>
      <w:r>
        <w:rPr>
          <w:rFonts w:ascii="Calibri" w:cs="Calibri" w:eastAsia="Calibri" w:hAnsi="Calibri"/>
          <w:i/>
          <w:iCs/>
          <w:color w:val="595959"/>
          <w:sz w:val="22"/>
          <w:szCs w:val="22"/>
        </w:rPr>
        <w:t xml:space="preserve">What this document contains. Four blocks of content to paste into the existing 'Standards &amp; Artifacts Library' Confluence page (currently at v6 with sections E, F, G, H, I, J). After integrating these changes the page becomes v7. Block D (tag clarity renames) is small but touches multiple existing tables — handle it last.</w:t>
      </w:r>
    </w:p>
    <w:p>
      <w:pPr>
        <w:pStyle w:val="Heading1"/>
        <w:spacing w:after="180" w:before="360"/>
      </w:pPr>
      <w:r>
        <w:rPr>
          <w:b/>
          <w:bCs/>
          <w:color w:val="176B2C"/>
          <w:sz w:val="32"/>
          <w:szCs w:val="32"/>
        </w:rPr>
        <w:t xml:space="preserve">Block A — Section H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F18" w:sz="4"/>
              <w:left w:val="single" w:color="B46F18" w:sz="24"/>
              <w:bottom w:val="single" w:color="B46F18" w:sz="4"/>
              <w:right w:val="single" w:color="B46F18" w:sz="4"/>
            </w:tcBorders>
            <w:shd w:fill="FFE9C2" w:color="auto" w:val="clear"/>
            <w:tcMar>
              <w:top w:type="dxa" w:w="160"/>
              <w:left w:type="dxa" w:w="220"/>
              <w:bottom w:type="dxa" w:w="160"/>
              <w:right w:type="dxa" w:w="220"/>
            </w:tcMar>
          </w:tcPr>
          <w:p>
            <w:r>
              <w:rPr>
                <w:b/>
                <w:bCs/>
                <w:color w:val="B46F18"/>
                <w:sz w:val="22"/>
                <w:szCs w:val="22"/>
              </w:rPr>
              <w:t xml:space="preserve">PASTE LOCATION: Inside Section H (Semantic Layer Standard). Add 'Why this matters' as a new subsection BEFORE 'What a Metric View is'. Add 'Exploration queries' as a new subsection AFTER 'UC tags applied to the Metric View'. Update the section title and opening paragraph as shown.</w:t>
            </w:r>
          </w:p>
        </w:tc>
      </w:tr>
    </w:tbl>
    <w:p>
      <w:pPr>
        <w:pStyle w:val="Heading3"/>
        <w:spacing w:after="120" w:before="240"/>
      </w:pPr>
      <w:r>
        <w:rPr>
          <w:b/>
          <w:bCs/>
          <w:color w:val="176B2C"/>
          <w:sz w:val="22"/>
          <w:szCs w:val="22"/>
        </w:rPr>
        <w:t xml:space="preserve">Section H title — REPLACEMENT</w:t>
      </w:r>
    </w:p>
    <w:p>
      <w:pPr>
        <w:spacing w:after="100" w:before="100"/>
      </w:pPr>
      <w:r>
        <w:rPr>
          <w:rFonts w:ascii="Calibri" w:cs="Calibri" w:eastAsia="Calibri" w:hAnsi="Calibri"/>
          <w:i/>
          <w:iCs/>
          <w:color w:val="595959"/>
          <w:sz w:val="22"/>
          <w:szCs w:val="22"/>
        </w:rPr>
        <w:t xml:space="preserve">REPLACE the current title 'H. Semantic Layer Standard — Metric Views'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H. Semantic Layer Standard</w:t>
            </w:r>
          </w:p>
        </w:tc>
      </w:tr>
    </w:tbl>
    <w:p>
      <w:pPr>
        <w:spacing w:after="100" w:before="100"/>
      </w:pPr>
      <w:r>
        <w:rPr>
          <w:rFonts w:ascii="Calibri" w:cs="Calibri" w:eastAsia="Calibri" w:hAnsi="Calibri"/>
          <w:i/>
          <w:iCs/>
          <w:color w:val="595959"/>
          <w:sz w:val="22"/>
          <w:szCs w:val="22"/>
        </w:rPr>
        <w:t xml:space="preserve">Reason: the section now talks about the semantic layer as a concept first; Metric Views are the current implementation direction in Databricks, not the only possible implementation.</w:t>
      </w:r>
    </w:p>
    <w:p>
      <w:pPr>
        <w:pStyle w:val="Heading3"/>
        <w:spacing w:after="120" w:before="240"/>
      </w:pPr>
      <w:r>
        <w:rPr>
          <w:b/>
          <w:bCs/>
          <w:color w:val="176B2C"/>
          <w:sz w:val="22"/>
          <w:szCs w:val="22"/>
        </w:rPr>
        <w:t xml:space="preserve">Section H opening paragraph — REPLACEMENT TEXT</w:t>
      </w:r>
    </w:p>
    <w:p>
      <w:pPr>
        <w:spacing w:after="100" w:before="100"/>
      </w:pPr>
      <w:r>
        <w:rPr>
          <w:rFonts w:ascii="Calibri" w:cs="Calibri" w:eastAsia="Calibri" w:hAnsi="Calibri"/>
          <w:i/>
          <w:iCs/>
          <w:color w:val="595959"/>
          <w:sz w:val="22"/>
          <w:szCs w:val="22"/>
        </w:rPr>
        <w:t xml:space="preserve">REPLACE the current opening note that says '*Authority...*'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Authority: Risk Data Team defines the semantic layer for each analytics-zone data product. The PG Leader / Tech Product Owner approves business measure definitions. Engineering implements. The semantic layer is a concept; today it lives as a configuration file (YAML, dbt semantic model, MicroStrategy schema object, or similar — depending on the team's tooling) maintained alongside the data product. The current direction is Databricks Metric Views, but the standard does not commit to any specific tool. As the platform matures, the configuration will move into native catalog objects (e.g. Databricks Metric Views with full UC tag integration). The attribute names in the contract (semantic_view, etc.) stay the same regardless of which tool implements them, so contracts don't churn when platform direction settles.</w:t>
            </w:r>
          </w:p>
        </w:tc>
      </w:tr>
    </w:tbl>
    <w:p>
      <w:pPr>
        <w:pStyle w:val="Heading3"/>
        <w:spacing w:after="120" w:before="240"/>
      </w:pPr>
      <w:r>
        <w:rPr>
          <w:b/>
          <w:bCs/>
          <w:color w:val="176B2C"/>
          <w:sz w:val="22"/>
          <w:szCs w:val="22"/>
        </w:rPr>
        <w:t xml:space="preserve">New subsection — Why this matters (insert before 'What a Metric View is')</w:t>
      </w:r>
    </w:p>
    <w:p>
      <w:pPr>
        <w:spacing w:after="100" w:before="100"/>
      </w:pPr>
      <w:r>
        <w:rPr>
          <w:rFonts w:ascii="Calibri" w:cs="Calibri" w:eastAsia="Calibri" w:hAnsi="Calibri"/>
          <w:sz w:val="22"/>
          <w:szCs w:val="22"/>
        </w:rPr>
        <w:t xml:space="preserve">Today, when the business has a question, a developer writes a SQL query to answer it. Next question — next query. Hundreds of one-off queries accumulate. Each query embeds someone's interpretation of how a measure should be calculated, which dimensions to slice by, which filters to apply. Same metric ends up calculated differently across queries. The business waits on engineering for every new question.</w:t>
      </w:r>
    </w:p>
    <w:p>
      <w:pPr>
        <w:spacing w:after="100" w:before="100"/>
      </w:pPr>
      <w:r>
        <w:rPr>
          <w:rFonts w:ascii="Calibri" w:cs="Calibri" w:eastAsia="Calibri" w:hAnsi="Calibri"/>
          <w:sz w:val="22"/>
          <w:szCs w:val="22"/>
        </w:rPr>
        <w:t xml:space="preserve">A semantic layer changes this pattern. The semantic layer declares — once — what each measure is, how it aggregates, what dimensions are valid, and how it joins to other data. BI tools, Genie, ad-hoc users, and AI agents query the semantic layer directly. The business drags and drops; the answer is consistent every time because the rules live in the model, not in someone's notebook.</w:t>
      </w:r>
    </w:p>
    <w:p>
      <w:pPr>
        <w:spacing w:after="100" w:before="100"/>
      </w:pPr>
      <w:r>
        <w:rPr>
          <w:rFonts w:ascii="Calibri" w:cs="Calibri" w:eastAsia="Calibri" w:hAnsi="Calibri"/>
          <w:sz w:val="22"/>
          <w:szCs w:val="22"/>
        </w:rPr>
        <w:t xml:space="preserve">Two implications worth naming up front:</w:t>
      </w:r>
    </w:p>
    <w:p>
      <w:pPr>
        <w:pStyle w:val="ListParagraph"/>
        <w:numPr>
          <w:ilvl w:val="0"/>
          <w:numId w:val="2"/>
        </w:numPr>
        <w:spacing w:after="50" w:before="50"/>
      </w:pPr>
      <w:r>
        <w:rPr>
          <w:sz w:val="22"/>
          <w:szCs w:val="22"/>
        </w:rPr>
        <w:t xml:space="preserve">Consistency. Everyone gets the same definition of PFE, the same aggregation of HQLA, the same join from exposure to counterparty. No more reconciling between developers' queries.</w:t>
      </w:r>
    </w:p>
    <w:p>
      <w:pPr>
        <w:pStyle w:val="ListParagraph"/>
        <w:numPr>
          <w:ilvl w:val="0"/>
          <w:numId w:val="2"/>
        </w:numPr>
        <w:spacing w:after="50" w:before="50"/>
      </w:pPr>
      <w:r>
        <w:rPr>
          <w:sz w:val="22"/>
          <w:szCs w:val="22"/>
        </w:rPr>
        <w:t xml:space="preserve">Role shift. The developer's job moves from writing one-off queries to building durable models. The Data Product Owner shapes the model with the business. Engineering implements. Same people, more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Semantic layer is the concept. Databricks Metric Views are one possible implementation (the current direction). The benefits described here apply regardless of which tool implements it.</w:t>
            </w:r>
          </w:p>
        </w:tc>
      </w:tr>
    </w:tbl>
    <w:p>
      <w:pPr>
        <w:spacing w:after="100" w:before="100"/>
      </w:pPr>
      <w:r>
        <w:rPr>
          <w:rFonts w:ascii="Calibri" w:cs="Calibri" w:eastAsia="Calibri" w:hAnsi="Calibri"/>
          <w:i/>
          <w:iCs/>
          <w:color w:val="595959"/>
          <w:sz w:val="22"/>
          <w:szCs w:val="22"/>
        </w:rPr>
        <w:t xml:space="preserve">For the parallel story in the data modeling guide, see slide 12 in the Data Modeling deck — From query-based to model-based consumption.</w:t>
      </w:r>
    </w:p>
    <w:p>
      <w:pPr>
        <w:pStyle w:val="Heading3"/>
        <w:spacing w:after="120" w:before="240"/>
      </w:pPr>
      <w:r>
        <w:rPr>
          <w:b/>
          <w:bCs/>
          <w:color w:val="176B2C"/>
          <w:sz w:val="22"/>
          <w:szCs w:val="22"/>
        </w:rPr>
        <w:t xml:space="preserve">New subsection — Exploration queries (insert after 'UC tags applied to the Metric View')</w:t>
      </w:r>
    </w:p>
    <w:p>
      <w:pPr>
        <w:spacing w:after="100" w:before="100"/>
      </w:pPr>
      <w:r>
        <w:rPr>
          <w:rFonts w:ascii="Calibri" w:cs="Calibri" w:eastAsia="Calibri" w:hAnsi="Calibri"/>
          <w:sz w:val="22"/>
          <w:szCs w:val="22"/>
        </w:rPr>
        <w:t xml:space="preserve">Each semantic-layer object carries a small set of sample queries — three to five worked examples showing what the model can answer and how to query it. These queries live alongside the semantic-layer documentation on Confluence, not inside the contract YAML (which would be too heavy).</w:t>
      </w:r>
    </w:p>
    <w:p>
      <w:pPr>
        <w:spacing w:after="100" w:before="100"/>
      </w:pPr>
      <w:r>
        <w:rPr>
          <w:rFonts w:ascii="Calibri" w:cs="Calibri" w:eastAsia="Calibri" w:hAnsi="Calibri"/>
          <w:sz w:val="22"/>
          <w:szCs w:val="22"/>
        </w:rPr>
        <w:t xml:space="preserve">Purpose:</w:t>
      </w:r>
    </w:p>
    <w:p>
      <w:pPr>
        <w:pStyle w:val="ListParagraph"/>
        <w:numPr>
          <w:ilvl w:val="0"/>
          <w:numId w:val="2"/>
        </w:numPr>
        <w:spacing w:after="50" w:before="50"/>
      </w:pPr>
      <w:r>
        <w:rPr>
          <w:sz w:val="22"/>
          <w:szCs w:val="22"/>
        </w:rPr>
        <w:t xml:space="preserve">Onboarding — a new consumer sees what the model can answer at a glance</w:t>
      </w:r>
    </w:p>
    <w:p>
      <w:pPr>
        <w:pStyle w:val="ListParagraph"/>
        <w:numPr>
          <w:ilvl w:val="0"/>
          <w:numId w:val="2"/>
        </w:numPr>
        <w:spacing w:after="50" w:before="50"/>
      </w:pPr>
      <w:r>
        <w:rPr>
          <w:sz w:val="22"/>
          <w:szCs w:val="22"/>
        </w:rPr>
        <w:t xml:space="preserve">Cross-product demonstration — shows where the conformed model unlocks cross-domain questions</w:t>
      </w:r>
    </w:p>
    <w:p>
      <w:pPr>
        <w:pStyle w:val="ListParagraph"/>
        <w:numPr>
          <w:ilvl w:val="0"/>
          <w:numId w:val="2"/>
        </w:numPr>
        <w:spacing w:after="50" w:before="50"/>
      </w:pPr>
      <w:r>
        <w:rPr>
          <w:sz w:val="22"/>
          <w:szCs w:val="22"/>
        </w:rPr>
        <w:t xml:space="preserve">Test cases — the queries can be reused as DQ checks ensuring the model behaves consistently over time</w:t>
      </w:r>
    </w:p>
    <w:p>
      <w:pPr>
        <w:spacing w:after="100" w:before="100"/>
      </w:pPr>
      <w:r>
        <w:rPr>
          <w:rFonts w:ascii="Calibri" w:cs="Calibri" w:eastAsia="Calibri" w:hAnsi="Calibri"/>
          <w:b/>
          <w:bCs/>
          <w:sz w:val="22"/>
          <w:szCs w:val="22"/>
        </w:rPr>
        <w:t xml:space="preserve">Sample exploration queries for the Collateral Exposure semantic-layer view:</w:t>
      </w:r>
    </w:p>
    <w:p>
      <w:pPr>
        <w:spacing w:after="60" w:before="60"/>
      </w:pPr>
      <w:r>
        <w:rPr>
          <w:rFonts w:ascii="Consolas" w:cs="Consolas" w:eastAsia="Consolas" w:hAnsi="Consolas"/>
          <w:color w:val="1F4E78"/>
          <w:sz w:val="18"/>
          <w:szCs w:val="18"/>
        </w:rPr>
        <w:t xml:space="preserve">-- 1. Daily exposure by counterparty for the last 7 business days
SELECT business_date, counterparty, SUM(exposure_amount) AS total
FROM risk_warehouse.semantic.collateral_exposure_semantic_view
WHERE business_date &gt;= current_date() - 7
GROUP BY business_date, counterparty;
-- 2. Top 10 counterparties by total exposure today
SELECT counterparty, SUM(exposure_amount) AS total
FROM risk_warehouse.semantic.collateral_exposure_semantic_view
WHERE business_date = current_date()
GROUP BY counterparty
ORDER BY total DESC LIMIT 10;
-- 3. Cross-product — collateral encumbrance versus liquidity buffer
SELECT c.business_date, c.currency,
       l.total_hqla, c.total_pledged,
       l.total_hqla - c.total_pledged AS unencumbered
FROM risk_warehouse.semantic.collateral_exposure_semantic_view c
JOIN risk_warehouse.semantic.lcr_buffer_semantic_view l
  ON c.business_date = l.business_date AND c.currency = l.currency
WHERE c.business_date = current_date();</w:t>
      </w:r>
    </w:p>
    <w:p>
      <w:pPr>
        <w:spacing w:after="100" w:before="100"/>
      </w:pPr>
      <w:r>
        <w:rPr>
          <w:rFonts w:ascii="Calibri" w:cs="Calibri" w:eastAsia="Calibri" w:hAnsi="Calibri"/>
          <w:i/>
          <w:iCs/>
          <w:color w:val="595959"/>
          <w:sz w:val="22"/>
          <w:szCs w:val="22"/>
        </w:rPr>
        <w:t xml:space="preserve">Reverse-link from the data contract. The contract YAML carries pointers to the semantic-layer configuration and the sample queries page, but does NOT embed the queries:</w:t>
      </w:r>
    </w:p>
    <w:p>
      <w:pPr>
        <w:spacing w:after="60" w:before="60"/>
      </w:pPr>
      <w:r>
        <w:rPr>
          <w:rFonts w:ascii="Consolas" w:cs="Consolas" w:eastAsia="Consolas" w:hAnsi="Consolas"/>
          <w:color w:val="1F4E78"/>
          <w:sz w:val="18"/>
          <w:szCs w:val="18"/>
        </w:rPr>
        <w:t xml:space="preserve">exploration:
  semantic_view: &lt;path or URL to the semantic-layer configuration&gt;
  sample_queries: &lt;URL to the Confluence page with sample queries&gt;</w:t>
      </w:r>
    </w:p>
    <w:p>
      <w:pPr>
        <w:pStyle w:val="Heading1"/>
        <w:spacing w:after="180" w:before="360"/>
      </w:pPr>
      <w:r>
        <w:rPr>
          <w:b/>
          <w:bCs/>
          <w:color w:val="176B2C"/>
          <w:sz w:val="32"/>
          <w:szCs w:val="32"/>
        </w:rPr>
        <w:t xml:space="preserve">Block B — New Section I (Authoring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F18" w:sz="4"/>
              <w:left w:val="single" w:color="B46F18" w:sz="24"/>
              <w:bottom w:val="single" w:color="B46F18" w:sz="4"/>
              <w:right w:val="single" w:color="B46F18" w:sz="4"/>
            </w:tcBorders>
            <w:shd w:fill="FFE9C2" w:color="auto" w:val="clear"/>
            <w:tcMar>
              <w:top w:type="dxa" w:w="160"/>
              <w:left w:type="dxa" w:w="220"/>
              <w:bottom w:type="dxa" w:w="160"/>
              <w:right w:type="dxa" w:w="220"/>
            </w:tcMar>
          </w:tcPr>
          <w:p>
            <w:r>
              <w:rPr>
                <w:b/>
                <w:bCs/>
                <w:color w:val="B46F18"/>
                <w:sz w:val="22"/>
                <w:szCs w:val="22"/>
              </w:rPr>
              <w:t xml:space="preserve">PASTE LOCATION: Insert as a new section between current Section H (Semantic Layer Standard) and current Section I (Consumer Registry Schema). The Consumer Registry section becomes Section J; Change Management becomes Section K. Update the artefacts catalog at the top of the page to include this new section.</w:t>
            </w:r>
          </w:p>
        </w:tc>
      </w:tr>
    </w:tbl>
    <w:p>
      <w:pPr>
        <w:pStyle w:val="Heading2"/>
        <w:spacing w:after="140" w:before="280"/>
      </w:pPr>
      <w:r>
        <w:rPr>
          <w:b/>
          <w:bCs/>
          <w:color w:val="176B2C"/>
          <w:sz w:val="26"/>
          <w:szCs w:val="26"/>
        </w:rPr>
        <w:t xml:space="preserve">I. Authoring Flows — who authors what</w:t>
      </w:r>
    </w:p>
    <w:p>
      <w:pPr>
        <w:spacing w:after="100" w:before="100"/>
      </w:pPr>
      <w:r>
        <w:rPr>
          <w:rFonts w:ascii="Calibri" w:cs="Calibri" w:eastAsia="Calibri" w:hAnsi="Calibri"/>
          <w:i/>
          <w:iCs/>
          <w:color w:val="595959"/>
          <w:sz w:val="22"/>
          <w:szCs w:val="22"/>
        </w:rPr>
        <w:t xml:space="preserve">Authority: Risk Data Team owns the framework. Each flow has its own authoring role and tooling.</w:t>
      </w:r>
    </w:p>
    <w:p>
      <w:pPr>
        <w:spacing w:after="100" w:before="100"/>
      </w:pPr>
      <w:r>
        <w:rPr>
          <w:rFonts w:ascii="Calibri" w:cs="Calibri" w:eastAsia="Calibri" w:hAnsi="Calibri"/>
          <w:i/>
          <w:iCs/>
          <w:color w:val="595959"/>
          <w:sz w:val="22"/>
          <w:szCs w:val="22"/>
        </w:rPr>
        <w:t xml:space="preserve">Companion artefacts: Data Contract Tags sheet (Section C), Application Layer Tags sheet, Semantic-layer tags sheet, Naming Convention Standard (Section F).</w:t>
      </w:r>
    </w:p>
    <w:p>
      <w:pPr>
        <w:pStyle w:val="Heading3"/>
        <w:spacing w:after="120" w:before="240"/>
      </w:pPr>
      <w:r>
        <w:rPr>
          <w:b/>
          <w:bCs/>
          <w:color w:val="176B2C"/>
          <w:sz w:val="22"/>
          <w:szCs w:val="22"/>
        </w:rPr>
        <w:t xml:space="preserve">Why this section exists</w:t>
      </w:r>
    </w:p>
    <w:p>
      <w:pPr>
        <w:spacing w:after="100" w:before="100"/>
      </w:pPr>
      <w:r>
        <w:rPr>
          <w:rFonts w:ascii="Calibri" w:cs="Calibri" w:eastAsia="Calibri" w:hAnsi="Calibri"/>
          <w:sz w:val="22"/>
          <w:szCs w:val="22"/>
        </w:rPr>
        <w:t xml:space="preserve">Metadata about risk data is captured in several places — Unity Catalog tags, contract YAML, modeling tools, Confluence pages. Different attributes flow in different directions depending on who owns the truth about them. Without a clear authoring-flow model, the same attribute might be authored in two places (or in none).</w:t>
      </w:r>
    </w:p>
    <w:p>
      <w:pPr>
        <w:spacing w:after="100" w:before="100"/>
      </w:pPr>
      <w:r>
        <w:rPr>
          <w:rFonts w:ascii="Calibri" w:cs="Calibri" w:eastAsia="Calibri" w:hAnsi="Calibri"/>
          <w:sz w:val="22"/>
          <w:szCs w:val="22"/>
        </w:rPr>
        <w:t xml:space="preserve">Three flows operate in parallel. They aren't sequential and they aren't competing — they describe who is the source of truth for which kind of attribute.</w:t>
      </w:r>
    </w:p>
    <w:p>
      <w:pPr>
        <w:pStyle w:val="Heading3"/>
        <w:spacing w:after="120" w:before="240"/>
      </w:pPr>
      <w:r>
        <w:rPr>
          <w:b/>
          <w:bCs/>
          <w:color w:val="176B2C"/>
          <w:sz w:val="22"/>
          <w:szCs w:val="22"/>
        </w:rPr>
        <w:t xml:space="preserve">The three flows</w:t>
      </w:r>
    </w:p>
    <w:p>
      <w:pPr>
        <w:spacing w:after="100" w:before="100"/>
      </w:pPr>
      <w:r>
        <w:rPr>
          <w:rFonts w:ascii="Calibri" w:cs="Calibri" w:eastAsia="Calibri" w:hAnsi="Calibri"/>
          <w:b/>
          <w:bCs/>
          <w:color w:val="1F4E78"/>
          <w:sz w:val="22"/>
          <w:szCs w:val="22"/>
        </w:rPr>
        <w:t xml:space="preserve">Business / Consumer flow</w:t>
      </w:r>
    </w:p>
    <w:p>
      <w:pPr>
        <w:spacing w:after="100" w:before="100"/>
      </w:pPr>
      <w:r>
        <w:rPr>
          <w:rFonts w:ascii="Calibri" w:cs="Calibri" w:eastAsia="Calibri" w:hAnsi="Calibri"/>
          <w:sz w:val="22"/>
          <w:szCs w:val="22"/>
        </w:rPr>
        <w:t xml:space="preserve">The business team and the data consumers surface demand. They identify gaps in current data, raise intake tickets, define the questions they need answered, and validate finished data products against the original use case. They do not author tags directly. But they are the source of truth for what products and metrics should exist.</w:t>
      </w:r>
    </w:p>
    <w:p>
      <w:pPr>
        <w:spacing w:after="100" w:before="100"/>
      </w:pPr>
      <w:r>
        <w:rPr>
          <w:rFonts w:ascii="Calibri" w:cs="Calibri" w:eastAsia="Calibri" w:hAnsi="Calibri"/>
          <w:i/>
          <w:iCs/>
          <w:color w:val="595959"/>
          <w:sz w:val="22"/>
          <w:szCs w:val="22"/>
        </w:rPr>
        <w:t xml:space="preserve">Authored: intake form content, use-case description, validation feedback. Channeled via: Jira intake, conversation with the Data Product Owner.</w:t>
      </w:r>
    </w:p>
    <w:p>
      <w:pPr>
        <w:spacing w:after="100" w:before="100"/>
      </w:pPr>
      <w:r>
        <w:rPr>
          <w:rFonts w:ascii="Calibri" w:cs="Calibri" w:eastAsia="Calibri" w:hAnsi="Calibri"/>
          <w:b/>
          <w:bCs/>
          <w:color w:val="176B2C"/>
          <w:sz w:val="22"/>
          <w:szCs w:val="22"/>
        </w:rPr>
        <w:t xml:space="preserve">Data Product Owner flow</w:t>
      </w:r>
    </w:p>
    <w:p>
      <w:pPr>
        <w:spacing w:after="100" w:before="100"/>
      </w:pPr>
      <w:r>
        <w:rPr>
          <w:rFonts w:ascii="Calibri" w:cs="Calibri" w:eastAsia="Calibri" w:hAnsi="Calibri"/>
          <w:sz w:val="22"/>
          <w:szCs w:val="22"/>
        </w:rPr>
        <w:t xml:space="preserve">The Data Product Owner is the bridge between business and engineering. They translate consumer needs into data product specifications. They are in active conversation with the consumer and decide which new products to build based on what the consumer really needs. They author the data contract YAML, which is the durable expression of the product. CI projects the contract into UC tags on the physical table.</w:t>
      </w:r>
    </w:p>
    <w:p>
      <w:pPr>
        <w:spacing w:after="100" w:before="100"/>
      </w:pPr>
      <w:r>
        <w:rPr>
          <w:rFonts w:ascii="Calibri" w:cs="Calibri" w:eastAsia="Calibri" w:hAnsi="Calibri"/>
          <w:i/>
          <w:iCs/>
          <w:color w:val="595959"/>
          <w:sz w:val="22"/>
          <w:szCs w:val="22"/>
        </w:rPr>
        <w:t xml:space="preserve">Authored: contract YAML — capability, archetype, contract.alias, owner.*, refresh.*, grain, dimensions, measures, business description, change history. Projected as UC tags by CI.</w:t>
      </w:r>
    </w:p>
    <w:p>
      <w:pPr>
        <w:spacing w:after="100" w:before="100"/>
      </w:pPr>
      <w:r>
        <w:rPr>
          <w:rFonts w:ascii="Calibri" w:cs="Calibri" w:eastAsia="Calibri" w:hAnsi="Calibri"/>
          <w:b/>
          <w:bCs/>
          <w:color w:val="B46F18"/>
          <w:sz w:val="22"/>
          <w:szCs w:val="22"/>
        </w:rPr>
        <w:t xml:space="preserve">Engineer flow</w:t>
      </w:r>
    </w:p>
    <w:p>
      <w:pPr>
        <w:spacing w:after="100" w:before="100"/>
      </w:pPr>
      <w:r>
        <w:rPr>
          <w:rFonts w:ascii="Calibri" w:cs="Calibri" w:eastAsia="Calibri" w:hAnsi="Calibri"/>
          <w:sz w:val="22"/>
          <w:szCs w:val="22"/>
        </w:rPr>
        <w:t xml:space="preserve">Engineering implements products and pipelines. The Engineer owns the operational and technical-mapping tags — the ones that describe physical reality. When conformance is wired up between app schemas and the core layer, the Engineer records the source app's column names as aliases. When a table is deprecated, the Engineer flips the status tag. When auto-classification flags a column as PII, the Engineer reviews and confirms.</w:t>
      </w:r>
    </w:p>
    <w:p>
      <w:pPr>
        <w:spacing w:after="100" w:before="100"/>
      </w:pPr>
      <w:r>
        <w:rPr>
          <w:rFonts w:ascii="Calibri" w:cs="Calibri" w:eastAsia="Calibri" w:hAnsi="Calibri"/>
          <w:i/>
          <w:iCs/>
          <w:color w:val="595959"/>
          <w:sz w:val="22"/>
          <w:szCs w:val="22"/>
        </w:rPr>
        <w:t xml:space="preserve">Authored directly on the object: source.*, identity.alias at column level, class.pii from auto-classification, lifecycle.status on deprecation.</w:t>
      </w:r>
    </w:p>
    <w:p>
      <w:pPr>
        <w:pStyle w:val="Heading3"/>
        <w:spacing w:after="120" w:before="240"/>
      </w:pPr>
      <w:r>
        <w:rPr>
          <w:b/>
          <w:bCs/>
          <w:color w:val="176B2C"/>
          <w:sz w:val="22"/>
          <w:szCs w:val="22"/>
        </w:rPr>
        <w:t xml:space="preserve">Authoring flow by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Tag / attribute</w:t>
            </w:r>
          </w:p>
        </w:tc>
        <w:tc>
          <w:tcPr>
            <w:tcW w:type="dxa" w:w="22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Authored by</w:t>
            </w:r>
          </w:p>
        </w:tc>
        <w:tc>
          <w:tcPr>
            <w:tcW w:type="dxa" w:w="248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Where authored</w:t>
            </w:r>
          </w:p>
        </w:tc>
        <w:tc>
          <w:tcPr>
            <w:tcW w:type="dxa" w:w="248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How it reaches UC</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product_id / table name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Table name in CREATE TABLE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contract.alias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 (multi-value)</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capability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archetype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owner.business / .technical / .email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refresh.frequency / .sla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contract.version / .changed / .url / .grain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 + CI</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 (CI auto-sets some)</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collibra.url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source.app / .domain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Engineer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App-layer table tag</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Authored directly; inherited up to product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class.sensitivity / .pii</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Engineer + CDO policy</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App-layer tag or auto-classification</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Highest-of-upstream inherits to product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identity.business_name / .short_name / .alias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Engineer at conformance</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UC column tag</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Authored directly on column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status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 (lifecycle decisions) + Engineer (operational changes)</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 or direct</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Mixed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semantic.present / .config_type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Engineer (creates the config) + Data Product Owner (approves type)</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Direct on semantic-layer object</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Authored directly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semantic.consumed_by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to semantic-layer object</w:t>
            </w:r>
          </w:p>
        </w:tc>
      </w:tr>
    </w:tbl>
    <w:p>
      <w:pPr>
        <w:spacing w:after="160"/>
      </w:pPr>
      <w:r>
        <w:t xml:space="preserve"> </w:t>
      </w:r>
    </w:p>
    <w:p>
      <w:pPr>
        <w:pStyle w:val="Heading3"/>
        <w:spacing w:after="120" w:before="240"/>
      </w:pPr>
      <w:r>
        <w:rPr>
          <w:b/>
          <w:bCs/>
          <w:color w:val="176B2C"/>
          <w:sz w:val="22"/>
          <w:szCs w:val="22"/>
        </w:rPr>
        <w:t xml:space="preserve">Worked example — aliases at two levels</w:t>
      </w:r>
    </w:p>
    <w:p>
      <w:pPr>
        <w:spacing w:after="100" w:before="100"/>
      </w:pPr>
      <w:r>
        <w:rPr>
          <w:rFonts w:ascii="Calibri" w:cs="Calibri" w:eastAsia="Calibri" w:hAnsi="Calibri"/>
          <w:sz w:val="22"/>
          <w:szCs w:val="22"/>
        </w:rPr>
        <w:t xml:space="preserve">Aliases illustrate the flow distinction. Two alias tags, two layers, different authoring flows:</w:t>
      </w:r>
    </w:p>
    <w:p>
      <w:pPr>
        <w:spacing w:after="100" w:before="100"/>
      </w:pPr>
      <w:r>
        <w:rPr>
          <w:rFonts w:ascii="Calibri" w:cs="Calibri" w:eastAsia="Calibri" w:hAnsi="Calibri"/>
          <w:b/>
          <w:bCs/>
          <w:color w:val="176B2C"/>
          <w:sz w:val="22"/>
          <w:szCs w:val="22"/>
        </w:rPr>
        <w:t xml:space="preserve">contract.alias (product level)</w:t>
      </w:r>
    </w:p>
    <w:p>
      <w:pPr>
        <w:spacing w:after="100" w:before="100"/>
      </w:pPr>
      <w:r>
        <w:rPr>
          <w:rFonts w:ascii="Calibri" w:cs="Calibri" w:eastAsia="Calibri" w:hAnsi="Calibri"/>
          <w:sz w:val="22"/>
          <w:szCs w:val="22"/>
        </w:rPr>
        <w:t xml:space="preserve">The Data Product Owner authors it in the contract YAML. It captures the product's display name and any historical names — e.g. 'Collateral Exposure' currently, 'CCR Collateral' historically, 'CMOS Collateral Position' as an alternate. CI reads the YAML on each release and applies the multi-value tag to the table. The Engineer doesn't author this because they don't know the senior risk director's preferred name for the product.</w:t>
      </w:r>
    </w:p>
    <w:p>
      <w:pPr>
        <w:spacing w:after="100" w:before="100"/>
      </w:pPr>
      <w:r>
        <w:rPr>
          <w:rFonts w:ascii="Calibri" w:cs="Calibri" w:eastAsia="Calibri" w:hAnsi="Calibri"/>
          <w:b/>
          <w:bCs/>
          <w:color w:val="B46F18"/>
          <w:sz w:val="22"/>
          <w:szCs w:val="22"/>
        </w:rPr>
        <w:t xml:space="preserve">identity.alias (column level)</w:t>
      </w:r>
    </w:p>
    <w:p>
      <w:pPr>
        <w:spacing w:after="100" w:before="100"/>
      </w:pPr>
      <w:r>
        <w:rPr>
          <w:rFonts w:ascii="Calibri" w:cs="Calibri" w:eastAsia="Calibri" w:hAnsi="Calibri"/>
          <w:sz w:val="22"/>
          <w:szCs w:val="22"/>
        </w:rPr>
        <w:t xml:space="preserve">The Engineer authors it directly at conformance. When XVALA's column cpIntRtg is mapped to the canonical counterparty_internal_rating column in the conformed schema, the Engineer records the alias as 'xvala:cpIntRtg' on the canonical column. The Data Product Owner doesn't author this because it's a technical-mapping fact that emerges from the conformance step.</w:t>
      </w:r>
    </w:p>
    <w:p>
      <w:pPr>
        <w:spacing w:after="100" w:before="100"/>
      </w:pPr>
      <w:r>
        <w:rPr>
          <w:rFonts w:ascii="Calibri" w:cs="Calibri" w:eastAsia="Calibri" w:hAnsi="Calibri"/>
          <w:i/>
          <w:iCs/>
          <w:color w:val="595959"/>
          <w:sz w:val="22"/>
          <w:szCs w:val="22"/>
        </w:rPr>
        <w:t xml:space="preserve">Both tags use the *.alias suffix to signal they belong to the same conceptual family. Their namespaces (contract.*, identity.*) signal who owns the authoring.</w:t>
      </w:r>
    </w:p>
    <w:p>
      <w:pPr>
        <w:pStyle w:val="Heading3"/>
        <w:spacing w:after="120" w:before="240"/>
      </w:pPr>
      <w:r>
        <w:rPr>
          <w:b/>
          <w:bCs/>
          <w:color w:val="176B2C"/>
          <w:sz w:val="22"/>
          <w:szCs w:val="22"/>
        </w:rPr>
        <w:t xml:space="preserve">The general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Tags describing contracted commitments about a product → Data Product Owner authors in YAML, CI projects to tags. Tags describing physical/technical reality → Engineer authors directly on the object. Tags surfacing business demand → Business raises through intake; downstream flows pick it up.</w:t>
            </w:r>
          </w:p>
        </w:tc>
      </w:tr>
    </w:tbl>
    <w:p>
      <w:pPr>
        <w:pStyle w:val="Heading1"/>
        <w:spacing w:after="180" w:before="360"/>
      </w:pPr>
      <w:r>
        <w:rPr>
          <w:b/>
          <w:bCs/>
          <w:color w:val="176B2C"/>
          <w:sz w:val="32"/>
          <w:szCs w:val="32"/>
        </w:rPr>
        <w:t xml:space="preserve">Block C — Section F naming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F18" w:sz="4"/>
              <w:left w:val="single" w:color="B46F18" w:sz="24"/>
              <w:bottom w:val="single" w:color="B46F18" w:sz="4"/>
              <w:right w:val="single" w:color="B46F18" w:sz="4"/>
            </w:tcBorders>
            <w:shd w:fill="FFE9C2" w:color="auto" w:val="clear"/>
            <w:tcMar>
              <w:top w:type="dxa" w:w="160"/>
              <w:left w:type="dxa" w:w="220"/>
              <w:bottom w:type="dxa" w:w="160"/>
              <w:right w:type="dxa" w:w="220"/>
            </w:tcMar>
          </w:tcPr>
          <w:p>
            <w:r>
              <w:rPr>
                <w:b/>
                <w:bCs/>
                <w:color w:val="B46F18"/>
                <w:sz w:val="22"/>
                <w:szCs w:val="22"/>
              </w:rPr>
              <w:t xml:space="preserve">PASTE LOCATION: Inside Section F (Naming Convention Standard). Update the table of UC tag keys near the end of the section. The three bare keys business_name, short_name, aliases are renamed into the identity.* namespace for consistency.</w:t>
            </w:r>
          </w:p>
        </w:tc>
      </w:tr>
    </w:tbl>
    <w:p>
      <w:pPr>
        <w:pStyle w:val="Heading3"/>
        <w:spacing w:after="120" w:before="240"/>
      </w:pPr>
      <w:r>
        <w:rPr>
          <w:b/>
          <w:bCs/>
          <w:color w:val="176B2C"/>
          <w:sz w:val="22"/>
          <w:szCs w:val="22"/>
        </w:rPr>
        <w:t xml:space="preserve">UC tag rename — current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Old tag key (bare)</w:t>
            </w:r>
          </w:p>
        </w:tc>
        <w:tc>
          <w:tcPr>
            <w:tcW w:type="dxa" w:w="27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New tag key</w:t>
            </w:r>
          </w:p>
        </w:tc>
        <w:tc>
          <w:tcPr>
            <w:tcW w:type="dxa" w:w="39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Notes</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business_name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identity.business_name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Plain-English business name for the column</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short_name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identity.short_name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Derived abbreviated form (only when needed)</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aliases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identity.alias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Multi-value: app:colname entries from source apps</w:t>
            </w:r>
          </w:p>
        </w:tc>
      </w:tr>
    </w:tbl>
    <w:p>
      <w:pPr>
        <w:spacing w:after="160"/>
      </w:pPr>
      <w:r>
        <w:t xml:space="preserve"> </w:t>
      </w:r>
    </w:p>
    <w:p>
      <w:pPr>
        <w:spacing w:after="100" w:before="100"/>
      </w:pPr>
      <w:r>
        <w:rPr>
          <w:rFonts w:ascii="Calibri" w:cs="Calibri" w:eastAsia="Calibri" w:hAnsi="Calibri"/>
          <w:sz w:val="22"/>
          <w:szCs w:val="22"/>
        </w:rPr>
        <w:t xml:space="preserve">Why the change. The bare tag keys (business_name, short_name, aliases) didn't follow the namespace convention used elsewhere (class.*, owner.*, source.*, contract.*, etc.). The new identity.* namespace groups all three together with a clear meaning: the names by which this thing is known.</w:t>
      </w:r>
    </w:p>
    <w:p>
      <w:pPr>
        <w:spacing w:after="100" w:before="100"/>
      </w:pPr>
      <w:r>
        <w:rPr>
          <w:rFonts w:ascii="Calibri" w:cs="Calibri" w:eastAsia="Calibri" w:hAnsi="Calibri"/>
          <w:i/>
          <w:iCs/>
          <w:color w:val="595959"/>
          <w:sz w:val="22"/>
          <w:szCs w:val="22"/>
        </w:rPr>
        <w:t xml:space="preserve">Update the reverse-lookup query in Section F to use the new tag name:</w:t>
      </w:r>
    </w:p>
    <w:p>
      <w:pPr>
        <w:spacing w:after="60" w:before="60"/>
      </w:pPr>
      <w:r>
        <w:rPr>
          <w:rFonts w:ascii="Consolas" w:cs="Consolas" w:eastAsia="Consolas" w:hAnsi="Consolas"/>
          <w:color w:val="1F4E78"/>
          <w:sz w:val="18"/>
          <w:szCs w:val="18"/>
        </w:rPr>
        <w:t xml:space="preserve">SELECT
  table_catalog,
  table_schema,
  table_name,
  column_name
FROM system.information_schema.column_tags
WHERE tag_name = 'identity.alias'
  AND tag_value LIKE '%xvala:cpIntRtg%';</w:t>
      </w:r>
    </w:p>
    <w:p>
      <w:pPr>
        <w:pStyle w:val="Heading1"/>
        <w:spacing w:after="180" w:before="360"/>
      </w:pPr>
      <w:r>
        <w:rPr>
          <w:b/>
          <w:bCs/>
          <w:color w:val="176B2C"/>
          <w:sz w:val="32"/>
          <w:szCs w:val="32"/>
        </w:rPr>
        <w:t xml:space="preserve">Block D — v6.1 tag clarity renames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F18" w:sz="4"/>
              <w:left w:val="single" w:color="B46F18" w:sz="24"/>
              <w:bottom w:val="single" w:color="B46F18" w:sz="4"/>
              <w:right w:val="single" w:color="B46F18" w:sz="4"/>
            </w:tcBorders>
            <w:shd w:fill="FFE9C2" w:color="auto" w:val="clear"/>
            <w:tcMar>
              <w:top w:type="dxa" w:w="160"/>
              <w:left w:type="dxa" w:w="220"/>
              <w:bottom w:type="dxa" w:w="160"/>
              <w:right w:type="dxa" w:w="220"/>
            </w:tcMar>
          </w:tcPr>
          <w:p>
            <w:r>
              <w:rPr>
                <w:b/>
                <w:bCs/>
                <w:color w:val="B46F18"/>
                <w:sz w:val="22"/>
                <w:szCs w:val="22"/>
              </w:rPr>
              <w:t xml:space="preserve">PASTE LOCATION: Multiple places. Apply these renames anywhere the old tag keys are referenced — in Section C (Data Contract Attribute Spec table), Section H (Semantic Layer tags table), Section J/K (Change Management examples), and any embedded SQL examples or DDL snippets across the page. Best handled with find-and-replace.</w:t>
            </w:r>
          </w:p>
        </w:tc>
      </w:tr>
    </w:tbl>
    <w:p>
      <w:pPr>
        <w:pStyle w:val="Heading3"/>
        <w:spacing w:after="120" w:before="240"/>
      </w:pPr>
      <w:r>
        <w:rPr>
          <w:b/>
          <w:bCs/>
          <w:color w:val="176B2C"/>
          <w:sz w:val="22"/>
          <w:szCs w:val="22"/>
        </w:rPr>
        <w:t xml:space="preserve">Renames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Old tag key</w:t>
            </w:r>
          </w:p>
        </w:tc>
        <w:tc>
          <w:tcPr>
            <w:tcW w:type="dxa" w:w="29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New tag key</w:t>
            </w:r>
          </w:p>
        </w:tc>
        <w:tc>
          <w:tcPr>
            <w:tcW w:type="dxa" w:w="35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Reason</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contract.ref</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contract.url</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It's a URL — name it as one. 'ref' was ambiguous.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collibra.ref</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collibra.url</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Single tag (asset ID is embedded in URL). Drop the abbreviation 'ref'.</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refresh.freq</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refresh.frequency</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Avoid abbreviation; the tag is rare enough that full word reads cleaner.</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semantic.metric_view (boolean)</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semantic.present</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Tool-agnostic. Doesn't imply Databricks Metric Views specifically.</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semantic.view_type</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semantic.config_type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Tool-agnostic; reads as 'what kind of semantic config is this'.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semantic.contract_ref</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semantic.contract_url</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Consistent with contract.url; both point at URLs.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semantic.product_ref</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semantic.product_path</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It's a catalog path (e.g. risk_warehouse.products.x), not a URL — call it what it is.</w:t>
            </w:r>
          </w:p>
        </w:tc>
      </w:tr>
    </w:tbl>
    <w:p>
      <w:pPr>
        <w:spacing w:after="160"/>
      </w:pPr>
      <w:r>
        <w:t xml:space="preserve"> </w:t>
      </w:r>
    </w:p>
    <w:p>
      <w:pPr>
        <w:pStyle w:val="Heading3"/>
        <w:spacing w:after="120" w:before="240"/>
      </w:pPr>
      <w:r>
        <w:rPr>
          <w:b/>
          <w:bCs/>
          <w:color w:val="176B2C"/>
          <w:sz w:val="22"/>
          <w:szCs w:val="22"/>
        </w:rPr>
        <w:t xml:space="preserve">Attribute name cleanup in the Data Contract Attribute Spec</w:t>
      </w:r>
    </w:p>
    <w:p>
      <w:pPr>
        <w:spacing w:after="100" w:before="100"/>
      </w:pPr>
      <w:r>
        <w:rPr>
          <w:rFonts w:ascii="Calibri" w:cs="Calibri" w:eastAsia="Calibri" w:hAnsi="Calibri"/>
          <w:sz w:val="22"/>
          <w:szCs w:val="22"/>
        </w:rPr>
        <w:t xml:space="preserve">The attribute names in the Contract Attribute Spec (Section C) had dotted prefixes that duplicated the Category column. Drop the prefix — the Category column carries the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Category</w:t>
            </w:r>
          </w:p>
        </w:tc>
        <w:tc>
          <w:tcPr>
            <w:tcW w:type="dxa" w:w="31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Old attribute name</w:t>
            </w:r>
          </w:p>
        </w:tc>
        <w:tc>
          <w:tcPr>
            <w:tcW w:type="dxa" w:w="31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New attribute name</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REFERENCE DEPENDENCIES</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reference_dependency.fx_rate</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fx_rate</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REFERENCE DEPENDENCIES</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reference_dependency.asset_classification</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asset_classification</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REFERENCE DEPENDENCIES</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reference_dependency.business_calendar</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business_calendar</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KNOWN ISSUES</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known_issue.title</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title</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KNOWN ISSUES</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known_issue.detail</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detail</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KNOWN ISSUES</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known_issue.severity</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severity</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KNOWN ISSUES</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known_issue.tracked_in</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tracked_in</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KNOWN ISSUES</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known_issue.target_resolution</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target_resolution</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EXPLORATION</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exploration.metric_view</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semantic_view</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EXPLORATION</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exploration.sample_queries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sample_queries</w:t>
            </w:r>
          </w:p>
        </w:tc>
      </w:tr>
    </w:tbl>
    <w:p>
      <w:pPr>
        <w:spacing w:after="160"/>
      </w:pPr>
      <w:r>
        <w:t xml:space="preserve"> </w:t>
      </w:r>
    </w:p>
    <w:p>
      <w:pPr>
        <w:spacing w:after="100" w:before="100"/>
      </w:pPr>
      <w:r>
        <w:rPr>
          <w:rFonts w:ascii="Calibri" w:cs="Calibri" w:eastAsia="Calibri" w:hAnsi="Calibri"/>
          <w:sz w:val="22"/>
          <w:szCs w:val="22"/>
        </w:rPr>
        <w:t xml:space="preserve">Note: The YAML form is unchanged. In the YAML file the attribute appears as exploration.semantic_view via natural YAML nesting (the parent block 'exploration' contains a 'semantic_view' key). Only the flat attribute-name column in the spec table is being cleaned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v6.1 is the second tag-clarity pass. Tags are still pre-publication so renames are safe — but they're worth flagging if you've already shared specific tag keys with the team. Going forward, name renames follow the change_policy notice rules.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76B2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76B2C"/>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76B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2026-05-15T17:01:16.422Z</dcterms:created>
  <dcterms:modified xsi:type="dcterms:W3CDTF">2026-05-15T17:01:16.438Z</dcterms:modified>
</cp:coreProperties>
</file>

<file path=docProps/custom.xml><?xml version="1.0" encoding="utf-8"?>
<Properties xmlns="http://schemas.openxmlformats.org/officeDocument/2006/custom-properties" xmlns:vt="http://schemas.openxmlformats.org/officeDocument/2006/docPropsVTypes"/>
</file>