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44"/>
          <w:szCs w:val="44"/>
        </w:rPr>
        <w:t xml:space="preserve">Risk Marketplace</w:t>
      </w:r>
    </w:p>
    <w:p>
      <w:pPr>
        <w:spacing w:after="320"/>
        <w:jc w:val="center"/>
      </w:pPr>
      <w:r>
        <w:rPr>
          <w:i/>
          <w:iCs/>
          <w:color w:val="595959"/>
          <w:sz w:val="24"/>
          <w:szCs w:val="24"/>
        </w:rPr>
        <w:t xml:space="preserve">The catalog of risk data products available across TD Securities</w:t>
      </w:r>
    </w:p>
    <w:p>
      <w:pPr>
        <w:pStyle w:val="Heading1"/>
        <w:spacing w:after="160" w:before="320"/>
      </w:pPr>
      <w:r>
        <w:rPr>
          <w:b/>
          <w:bCs/>
          <w:color w:val="1F4E78"/>
          <w:sz w:val="32"/>
          <w:szCs w:val="32"/>
        </w:rPr>
        <w:t xml:space="preserve">What this is</w:t>
      </w:r>
    </w:p>
    <w:p>
      <w:pPr>
        <w:spacing w:after="80" w:before="80"/>
      </w:pPr>
      <w:r>
        <w:rPr>
          <w:rFonts w:ascii="Arial" w:cs="Arial" w:eastAsia="Arial" w:hAnsi="Arial"/>
          <w:sz w:val="22"/>
          <w:szCs w:val="22"/>
        </w:rPr>
        <w:t xml:space="preserve">The Risk Marketplace is where the risk domain publishes the data it builds for the rest of the bank. Each entry in the marketplace is a data product — a clearly-defined dataset with an owner, a contract, a schema commitment, and a service-level agreement. If you consume data from risk for a dashboard, a report, a model, or a regulatory submission, this is where you find it.</w:t>
      </w:r>
    </w:p>
    <w:p>
      <w:pPr>
        <w:spacing w:after="80" w:before="80"/>
      </w:pPr>
      <w:r>
        <w:rPr>
          <w:rFonts w:ascii="Arial" w:cs="Arial" w:eastAsia="Arial" w:hAnsi="Arial"/>
          <w:sz w:val="22"/>
          <w:szCs w:val="22"/>
        </w:rPr>
        <w:t xml:space="preserve">Browse the marketplace by capability (Collateral Management, Liquidity &amp; Funding Risk, Counterparty Credit Risk, Market Risk, and so on) and pick the products you need. Each product has its own page with the contract, schema, lineage, and contacts.</w:t>
      </w:r>
    </w:p>
    <w:p>
      <w:pPr>
        <w:pStyle w:val="Heading1"/>
        <w:spacing w:after="160" w:before="320"/>
      </w:pPr>
      <w:r>
        <w:rPr>
          <w:b/>
          <w:bCs/>
          <w:color w:val="1F4E78"/>
          <w:sz w:val="32"/>
          <w:szCs w:val="32"/>
        </w:rPr>
        <w:t xml:space="preserve">What a data product is</w:t>
      </w:r>
    </w:p>
    <w:p>
      <w:pPr>
        <w:spacing w:after="80" w:before="80"/>
      </w:pPr>
      <w:r>
        <w:rPr>
          <w:rFonts w:ascii="Arial" w:cs="Arial" w:eastAsia="Arial" w:hAnsi="Arial"/>
          <w:sz w:val="22"/>
          <w:szCs w:val="22"/>
        </w:rPr>
        <w:t xml:space="preserve">A data product is more than a table. It's a packaged, contracted, distributable unit of data — built with named consumers in mind. Three things define it:</w:t>
      </w:r>
    </w:p>
    <w:p>
      <w:pPr>
        <w:pStyle w:val="ListParagraph"/>
        <w:numPr>
          <w:ilvl w:val="0"/>
          <w:numId w:val="2"/>
        </w:numPr>
        <w:spacing w:after="40" w:before="40"/>
      </w:pPr>
      <w:r>
        <w:rPr>
          <w:sz w:val="22"/>
          <w:szCs w:val="22"/>
        </w:rPr>
        <w:t xml:space="preserve">Data — physical tables in Databricks (Unity Catalog) that consumers query</w:t>
      </w:r>
    </w:p>
    <w:p>
      <w:pPr>
        <w:pStyle w:val="ListParagraph"/>
        <w:numPr>
          <w:ilvl w:val="0"/>
          <w:numId w:val="2"/>
        </w:numPr>
        <w:spacing w:after="40" w:before="40"/>
      </w:pPr>
      <w:r>
        <w:rPr>
          <w:sz w:val="22"/>
          <w:szCs w:val="22"/>
        </w:rPr>
        <w:t xml:space="preserve">Contract — a YAML specification that defines the product's schema, grain, owners, SLA, quality rules, and change policy</w:t>
      </w:r>
    </w:p>
    <w:p>
      <w:pPr>
        <w:pStyle w:val="ListParagraph"/>
        <w:numPr>
          <w:ilvl w:val="0"/>
          <w:numId w:val="2"/>
        </w:numPr>
        <w:spacing w:after="40" w:before="40"/>
      </w:pPr>
      <w:r>
        <w:rPr>
          <w:sz w:val="22"/>
          <w:szCs w:val="22"/>
        </w:rPr>
        <w:t xml:space="preserve">Distribution — readable by named consumers, with notifications when changes happen</w:t>
      </w:r>
    </w:p>
    <w:p>
      <w:pPr>
        <w:spacing w:after="200" w:before="120"/>
      </w:pPr>
      <w:r>
        <w:rPr>
          <w:rFonts w:ascii="Arial" w:cs="Arial" w:eastAsia="Arial" w:hAnsi="Arial"/>
          <w:sz w:val="22"/>
          <w:szCs w:val="22"/>
        </w:rPr>
        <w:t xml:space="preserve">The contract is what makes it a product, not just a table. Without a contract, downstream consumers have no commitment to rely on. With a contract, they can build dashboards, reports, and models that depend on the data without surprise.</w:t>
      </w:r>
    </w:p>
    <w:p>
      <w:pPr>
        <w:pStyle w:val="Heading1"/>
        <w:spacing w:after="160" w:before="320"/>
      </w:pPr>
      <w:r>
        <w:rPr>
          <w:b/>
          <w:bCs/>
          <w:color w:val="1F4E78"/>
          <w:sz w:val="32"/>
          <w:szCs w:val="32"/>
        </w:rPr>
        <w:t xml:space="preserve">What's exposed to the business</w:t>
      </w:r>
    </w:p>
    <w:p>
      <w:pPr>
        <w:spacing w:after="80" w:before="80"/>
      </w:pPr>
      <w:r>
        <w:rPr>
          <w:rFonts w:ascii="Arial" w:cs="Arial" w:eastAsia="Arial" w:hAnsi="Arial"/>
          <w:sz w:val="22"/>
          <w:szCs w:val="22"/>
        </w:rPr>
        <w:t xml:space="preserve">The Risk Marketplace exposes five views of the risk data estate. Each view serves a different need.</w:t>
      </w:r>
    </w:p>
    <w:p>
      <w:pPr>
        <w:spacing w:after="160"/>
      </w:pPr>
      <w:r>
        <w:t xml:space="preserve"> </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700"/>
        <w:gridCol w:w="100"/>
        <w:gridCol w:w="1700"/>
        <w:gridCol w:w="100"/>
        <w:gridCol w:w="1700"/>
        <w:gridCol w:w="100"/>
        <w:gridCol w:w="1700"/>
        <w:gridCol w:w="100"/>
        <w:gridCol w:w="1700"/>
      </w:tblGrid>
      <w:tr>
        <w:tc>
          <w:tcPr>
            <w:tcW w:type="dxa" w:w="1700"/>
            <w:tcBorders>
              <w:top w:val="single" w:color="808080" w:sz="8"/>
              <w:left w:val="single" w:color="808080" w:sz="8"/>
              <w:bottom w:val="single" w:color="808080" w:sz="8"/>
              <w:right w:val="single" w:color="808080" w:sz="8"/>
            </w:tcBorders>
            <w:shd w:fill="F2F2F2" w:color="auto" w:val="clear"/>
            <w:tcMar>
              <w:top w:type="dxa" w:w="200"/>
              <w:left w:type="dxa" w:w="160"/>
              <w:bottom w:type="dxa" w:w="200"/>
              <w:right w:type="dxa" w:w="160"/>
            </w:tcMar>
            <w:vAlign w:val="center"/>
          </w:tcPr>
          <w:p>
            <w:pPr>
              <w:spacing w:after="60"/>
              <w:jc w:val="center"/>
            </w:pPr>
            <w:r>
              <w:rPr>
                <w:b/>
                <w:bCs/>
                <w:color w:val="1F4E78"/>
                <w:sz w:val="24"/>
                <w:szCs w:val="24"/>
              </w:rPr>
              <w:t xml:space="preserve">Reference</w:t>
            </w:r>
          </w:p>
          <w:p>
            <w:pPr>
              <w:spacing w:after="0" w:before="0"/>
              <w:jc w:val="center"/>
            </w:pPr>
            <w:r>
              <w:rPr>
                <w:i/>
                <w:iCs/>
                <w:color w:val="333333"/>
                <w:sz w:val="18"/>
                <w:szCs w:val="18"/>
              </w:rPr>
              <w:t xml:space="preserve">Master &amp; lookup data</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1700"/>
            <w:tcBorders>
              <w:top w:val="single" w:color="8064A2" w:sz="8"/>
              <w:left w:val="single" w:color="8064A2" w:sz="8"/>
              <w:bottom w:val="single" w:color="8064A2" w:sz="8"/>
              <w:right w:val="single" w:color="8064A2" w:sz="8"/>
            </w:tcBorders>
            <w:shd w:fill="EDE0F0" w:color="auto" w:val="clear"/>
            <w:tcMar>
              <w:top w:type="dxa" w:w="200"/>
              <w:left w:type="dxa" w:w="160"/>
              <w:bottom w:type="dxa" w:w="200"/>
              <w:right w:type="dxa" w:w="160"/>
            </w:tcMar>
            <w:vAlign w:val="center"/>
          </w:tcPr>
          <w:p>
            <w:pPr>
              <w:spacing w:after="60"/>
              <w:jc w:val="center"/>
            </w:pPr>
            <w:r>
              <w:rPr>
                <w:b/>
                <w:bCs/>
                <w:color w:val="1F4E78"/>
                <w:sz w:val="24"/>
                <w:szCs w:val="24"/>
              </w:rPr>
              <w:t xml:space="preserve">Core Model</w:t>
            </w:r>
          </w:p>
          <w:p>
            <w:pPr>
              <w:spacing w:after="0" w:before="0"/>
              <w:jc w:val="center"/>
            </w:pPr>
            <w:r>
              <w:rPr>
                <w:i/>
                <w:iCs/>
                <w:color w:val="333333"/>
                <w:sz w:val="18"/>
                <w:szCs w:val="18"/>
              </w:rPr>
              <w:t xml:space="preserve">Normalized risk domain entities</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1700"/>
            <w:tcBorders>
              <w:top w:val="single" w:color="5B9BD5" w:sz="8"/>
              <w:left w:val="single" w:color="5B9BD5" w:sz="8"/>
              <w:bottom w:val="single" w:color="5B9BD5" w:sz="8"/>
              <w:right w:val="single" w:color="5B9BD5" w:sz="8"/>
            </w:tcBorders>
            <w:shd w:fill="D9E8F5" w:color="auto" w:val="clear"/>
            <w:tcMar>
              <w:top w:type="dxa" w:w="200"/>
              <w:left w:type="dxa" w:w="160"/>
              <w:bottom w:type="dxa" w:w="200"/>
              <w:right w:type="dxa" w:w="160"/>
            </w:tcMar>
            <w:vAlign w:val="center"/>
          </w:tcPr>
          <w:p>
            <w:pPr>
              <w:spacing w:after="60"/>
              <w:jc w:val="center"/>
            </w:pPr>
            <w:r>
              <w:rPr>
                <w:b/>
                <w:bCs/>
                <w:color w:val="1F4E78"/>
                <w:sz w:val="24"/>
                <w:szCs w:val="24"/>
              </w:rPr>
              <w:t xml:space="preserve">Core</w:t>
            </w:r>
          </w:p>
          <w:p>
            <w:pPr>
              <w:spacing w:after="0" w:before="0"/>
              <w:jc w:val="center"/>
            </w:pPr>
            <w:r>
              <w:rPr>
                <w:i/>
                <w:iCs/>
                <w:color w:val="333333"/>
                <w:sz w:val="18"/>
                <w:szCs w:val="18"/>
              </w:rPr>
              <w:t xml:space="preserve">Conformed business entities</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1700"/>
            <w:tcBorders>
              <w:top w:val="single" w:color="70AD47" w:sz="8"/>
              <w:left w:val="single" w:color="70AD47" w:sz="8"/>
              <w:bottom w:val="single" w:color="70AD47" w:sz="8"/>
              <w:right w:val="single" w:color="70AD47" w:sz="8"/>
            </w:tcBorders>
            <w:shd w:fill="E2F0D9" w:color="auto" w:val="clear"/>
            <w:tcMar>
              <w:top w:type="dxa" w:w="200"/>
              <w:left w:type="dxa" w:w="160"/>
              <w:bottom w:type="dxa" w:w="200"/>
              <w:right w:type="dxa" w:w="160"/>
            </w:tcMar>
            <w:vAlign w:val="center"/>
          </w:tcPr>
          <w:p>
            <w:pPr>
              <w:spacing w:after="60"/>
              <w:jc w:val="center"/>
            </w:pPr>
            <w:r>
              <w:rPr>
                <w:b/>
                <w:bCs/>
                <w:color w:val="1F4E78"/>
                <w:sz w:val="24"/>
                <w:szCs w:val="24"/>
              </w:rPr>
              <w:t xml:space="preserve">Analytics</w:t>
            </w:r>
          </w:p>
          <w:p>
            <w:pPr>
              <w:spacing w:after="0" w:before="0"/>
              <w:jc w:val="center"/>
            </w:pPr>
            <w:r>
              <w:rPr>
                <w:i/>
                <w:iCs/>
                <w:color w:val="333333"/>
                <w:sz w:val="18"/>
                <w:szCs w:val="18"/>
              </w:rPr>
              <w:t xml:space="preserve">Curated facts, dims, dashboards</w:t>
            </w:r>
          </w:p>
        </w:tc>
        <w:tc>
          <w:tcPr>
            <w:tcW w:type="dxa" w:w="1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1700"/>
            <w:tcBorders>
              <w:top w:val="single" w:color="E0A030" w:sz="8"/>
              <w:left w:val="single" w:color="E0A030" w:sz="8"/>
              <w:bottom w:val="single" w:color="E0A030" w:sz="8"/>
              <w:right w:val="single" w:color="E0A030" w:sz="8"/>
            </w:tcBorders>
            <w:shd w:fill="FFF4CE" w:color="auto" w:val="clear"/>
            <w:tcMar>
              <w:top w:type="dxa" w:w="200"/>
              <w:left w:type="dxa" w:w="160"/>
              <w:bottom w:type="dxa" w:w="200"/>
              <w:right w:type="dxa" w:w="160"/>
            </w:tcMar>
            <w:vAlign w:val="center"/>
          </w:tcPr>
          <w:p>
            <w:pPr>
              <w:spacing w:after="60"/>
              <w:jc w:val="center"/>
            </w:pPr>
            <w:r>
              <w:rPr>
                <w:b/>
                <w:bCs/>
                <w:color w:val="1F4E78"/>
                <w:sz w:val="24"/>
                <w:szCs w:val="24"/>
              </w:rPr>
              <w:t xml:space="preserve">Products</w:t>
            </w:r>
          </w:p>
          <w:p>
            <w:pPr>
              <w:spacing w:after="0" w:before="0"/>
              <w:jc w:val="center"/>
            </w:pPr>
            <w:r>
              <w:rPr>
                <w:i/>
                <w:iCs/>
                <w:color w:val="333333"/>
                <w:sz w:val="18"/>
                <w:szCs w:val="18"/>
              </w:rPr>
              <w:t xml:space="preserve">Contracted, distributed products</w:t>
            </w:r>
          </w:p>
        </w:tc>
      </w:tr>
    </w:tbl>
    <w:p>
      <w:pPr>
        <w:spacing w:after="160"/>
      </w:pPr>
      <w:r>
        <w:t xml:space="preserve"> </w:t>
      </w:r>
    </w:p>
    <w:p>
      <w:pPr>
        <w:spacing w:after="40" w:before="120"/>
      </w:pPr>
      <w:r>
        <w:rPr>
          <w:rFonts w:ascii="Arial" w:cs="Arial" w:eastAsia="Arial" w:hAnsi="Arial"/>
          <w:b/>
          <w:bCs/>
          <w:sz w:val="22"/>
          <w:szCs w:val="22"/>
        </w:rPr>
        <w:t xml:space="preserve">Reference</w:t>
      </w:r>
    </w:p>
    <w:p>
      <w:pPr>
        <w:spacing w:after="80" w:before="80"/>
      </w:pPr>
      <w:r>
        <w:rPr>
          <w:rFonts w:ascii="Arial" w:cs="Arial" w:eastAsia="Arial" w:hAnsi="Arial"/>
          <w:sz w:val="22"/>
          <w:szCs w:val="22"/>
        </w:rPr>
        <w:t xml:space="preserve">Mastered, authoritative reference and lookup data. Counterparty master, currency, country, CSA agreements, collateral types. Joined by everything else.</w:t>
      </w:r>
    </w:p>
    <w:p>
      <w:pPr>
        <w:spacing w:after="40" w:before="80"/>
      </w:pPr>
      <w:r>
        <w:rPr>
          <w:rFonts w:ascii="Arial" w:cs="Arial" w:eastAsia="Arial" w:hAnsi="Arial"/>
          <w:b/>
          <w:bCs/>
          <w:sz w:val="22"/>
          <w:szCs w:val="22"/>
        </w:rPr>
        <w:t xml:space="preserve">Core Model</w:t>
      </w:r>
    </w:p>
    <w:p>
      <w:pPr>
        <w:spacing w:after="80" w:before="80"/>
      </w:pPr>
      <w:r>
        <w:rPr>
          <w:rFonts w:ascii="Arial" w:cs="Arial" w:eastAsia="Arial" w:hAnsi="Arial"/>
          <w:sz w:val="22"/>
          <w:szCs w:val="22"/>
        </w:rPr>
        <w:t xml:space="preserve">The normalized physical implementation of the risk domain model. The technical, modeled view — used by data architects and the enterprise data team. Most business users will consume Core rather than Core Model.</w:t>
      </w:r>
    </w:p>
    <w:p>
      <w:pPr>
        <w:spacing w:after="40" w:before="80"/>
      </w:pPr>
      <w:r>
        <w:rPr>
          <w:rFonts w:ascii="Arial" w:cs="Arial" w:eastAsia="Arial" w:hAnsi="Arial"/>
          <w:b/>
          <w:bCs/>
          <w:sz w:val="22"/>
          <w:szCs w:val="22"/>
        </w:rPr>
        <w:t xml:space="preserve">Core</w:t>
      </w:r>
    </w:p>
    <w:p>
      <w:pPr>
        <w:spacing w:after="80" w:before="80"/>
      </w:pPr>
      <w:r>
        <w:rPr>
          <w:rFonts w:ascii="Arial" w:cs="Arial" w:eastAsia="Arial" w:hAnsi="Arial"/>
          <w:sz w:val="22"/>
          <w:szCs w:val="22"/>
        </w:rPr>
        <w:t xml:space="preserve">The business-facing conformed entities — Counterparty, Trade, Position, Exposure, CSA — reconciled across all risk applications. The integrated foundation that products and analytics build on.</w:t>
      </w:r>
    </w:p>
    <w:p>
      <w:pPr>
        <w:spacing w:after="40" w:before="80"/>
      </w:pPr>
      <w:r>
        <w:rPr>
          <w:rFonts w:ascii="Arial" w:cs="Arial" w:eastAsia="Arial" w:hAnsi="Arial"/>
          <w:b/>
          <w:bCs/>
          <w:sz w:val="22"/>
          <w:szCs w:val="22"/>
        </w:rPr>
        <w:t xml:space="preserve">Analytics</w:t>
      </w:r>
    </w:p>
    <w:p>
      <w:pPr>
        <w:spacing w:after="80" w:before="80"/>
      </w:pPr>
      <w:r>
        <w:rPr>
          <w:rFonts w:ascii="Arial" w:cs="Arial" w:eastAsia="Arial" w:hAnsi="Arial"/>
          <w:sz w:val="22"/>
          <w:szCs w:val="22"/>
        </w:rPr>
        <w:t xml:space="preserve">Curated analytical assets for risk-internal use. Star-shaped dimensions and facts, one-big-tables, semantic models for BI dashboards. Built for self-service exploration and dashboarding.</w:t>
      </w:r>
    </w:p>
    <w:p>
      <w:pPr>
        <w:spacing w:after="40" w:before="80"/>
      </w:pPr>
      <w:r>
        <w:rPr>
          <w:rFonts w:ascii="Arial" w:cs="Arial" w:eastAsia="Arial" w:hAnsi="Arial"/>
          <w:b/>
          <w:bCs/>
          <w:sz w:val="22"/>
          <w:szCs w:val="22"/>
        </w:rPr>
        <w:t xml:space="preserve">Products</w:t>
      </w:r>
    </w:p>
    <w:p>
      <w:pPr>
        <w:spacing w:after="120" w:before="80"/>
      </w:pPr>
      <w:r>
        <w:rPr>
          <w:rFonts w:ascii="Arial" w:cs="Arial" w:eastAsia="Arial" w:hAnsi="Arial"/>
          <w:sz w:val="22"/>
          <w:szCs w:val="22"/>
        </w:rPr>
        <w:t xml:space="preserve">The contracted data products distributed beyond risk. The marketplace itself. Every entry here has an owner, an SLA, a schema commitment, and named consumers.</w:t>
      </w:r>
    </w:p>
    <w:p>
      <w:pPr>
        <w:pStyle w:val="Heading1"/>
        <w:spacing w:after="160" w:before="320"/>
      </w:pPr>
      <w:r>
        <w:rPr>
          <w:b/>
          <w:bCs/>
          <w:color w:val="1F4E78"/>
          <w:sz w:val="32"/>
          <w:szCs w:val="32"/>
        </w:rPr>
        <w:t xml:space="preserve">Three kinds of products</w:t>
      </w:r>
    </w:p>
    <w:p>
      <w:pPr>
        <w:spacing w:after="80" w:before="80"/>
      </w:pPr>
      <w:r>
        <w:rPr>
          <w:rFonts w:ascii="Arial" w:cs="Arial" w:eastAsia="Arial" w:hAnsi="Arial"/>
          <w:sz w:val="22"/>
          <w:szCs w:val="22"/>
        </w:rPr>
        <w:t xml:space="preserve">Within the Products view, three archetypes capture the different ways products come into being. All three are real products — they all carry contracts, owners, and SLAs. The archetype describes how the product is built, not whether it is a product.</w:t>
      </w:r>
    </w:p>
    <w:p>
      <w:pPr>
        <w:spacing w:after="160"/>
      </w:pPr>
      <w: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2800"/>
        <w:gridCol w:w="200"/>
        <w:gridCol w:w="2800"/>
      </w:tblGrid>
      <w:tr>
        <w:tc>
          <w:tcPr>
            <w:tcW w:type="dxa" w:w="2800"/>
            <w:tcBorders>
              <w:top w:val="single" w:color="E0A030" w:sz="8"/>
              <w:left w:val="single" w:color="E0A030" w:sz="8"/>
              <w:bottom w:val="single" w:color="E0A030" w:sz="8"/>
              <w:right w:val="single" w:color="E0A030" w:sz="8"/>
            </w:tcBorders>
            <w:shd w:fill="FFF4CE" w:color="auto" w:val="clear"/>
            <w:tcMar>
              <w:top w:type="dxa" w:w="200"/>
              <w:left w:type="dxa" w:w="160"/>
              <w:bottom w:type="dxa" w:w="200"/>
              <w:right w:type="dxa" w:w="160"/>
            </w:tcMar>
            <w:vAlign w:val="center"/>
          </w:tcPr>
          <w:p>
            <w:pPr>
              <w:spacing w:after="60"/>
              <w:jc w:val="center"/>
            </w:pPr>
            <w:r>
              <w:rPr>
                <w:b/>
                <w:bCs/>
                <w:color w:val="1F4E78"/>
                <w:sz w:val="24"/>
                <w:szCs w:val="24"/>
              </w:rPr>
              <w:t xml:space="preserve">Foundational</w:t>
            </w:r>
          </w:p>
          <w:p>
            <w:pPr>
              <w:spacing w:after="0" w:before="0"/>
              <w:jc w:val="center"/>
            </w:pPr>
            <w:r>
              <w:rPr>
                <w:i/>
                <w:iCs/>
                <w:color w:val="333333"/>
                <w:sz w:val="18"/>
                <w:szCs w:val="18"/>
              </w:rPr>
              <w:t xml:space="preserve">Built by one application</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2800"/>
            <w:tcBorders>
              <w:top w:val="single" w:color="E0A030" w:sz="8"/>
              <w:left w:val="single" w:color="E0A030" w:sz="8"/>
              <w:bottom w:val="single" w:color="E0A030" w:sz="8"/>
              <w:right w:val="single" w:color="E0A030" w:sz="8"/>
            </w:tcBorders>
            <w:shd w:fill="FFF4CE" w:color="auto" w:val="clear"/>
            <w:tcMar>
              <w:top w:type="dxa" w:w="200"/>
              <w:left w:type="dxa" w:w="160"/>
              <w:bottom w:type="dxa" w:w="200"/>
              <w:right w:type="dxa" w:w="160"/>
            </w:tcMar>
            <w:vAlign w:val="center"/>
          </w:tcPr>
          <w:p>
            <w:pPr>
              <w:spacing w:after="60"/>
              <w:jc w:val="center"/>
            </w:pPr>
            <w:r>
              <w:rPr>
                <w:b/>
                <w:bCs/>
                <w:color w:val="1F4E78"/>
                <w:sz w:val="24"/>
                <w:szCs w:val="24"/>
              </w:rPr>
              <w:t xml:space="preserve">Derived</w:t>
            </w:r>
          </w:p>
          <w:p>
            <w:pPr>
              <w:spacing w:after="0" w:before="0"/>
              <w:jc w:val="center"/>
            </w:pPr>
            <w:r>
              <w:rPr>
                <w:i/>
                <w:iCs/>
                <w:color w:val="333333"/>
                <w:sz w:val="18"/>
                <w:szCs w:val="18"/>
              </w:rPr>
              <w:t xml:space="preserve">Built from multiple foundationals</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tcPr>
          <w:p>
            <w:r>
              <w:t xml:space="preserve"> </w:t>
            </w:r>
          </w:p>
        </w:tc>
        <w:tc>
          <w:tcPr>
            <w:tcW w:type="dxa" w:w="2800"/>
            <w:tcBorders>
              <w:top w:val="single" w:color="E0A030" w:sz="8"/>
              <w:left w:val="single" w:color="E0A030" w:sz="8"/>
              <w:bottom w:val="single" w:color="E0A030" w:sz="8"/>
              <w:right w:val="single" w:color="E0A030" w:sz="8"/>
            </w:tcBorders>
            <w:shd w:fill="FFF4CE" w:color="auto" w:val="clear"/>
            <w:tcMar>
              <w:top w:type="dxa" w:w="200"/>
              <w:left w:type="dxa" w:w="160"/>
              <w:bottom w:type="dxa" w:w="200"/>
              <w:right w:type="dxa" w:w="160"/>
            </w:tcMar>
            <w:vAlign w:val="center"/>
          </w:tcPr>
          <w:p>
            <w:pPr>
              <w:spacing w:after="60"/>
              <w:jc w:val="center"/>
            </w:pPr>
            <w:r>
              <w:rPr>
                <w:b/>
                <w:bCs/>
                <w:color w:val="1F4E78"/>
                <w:sz w:val="24"/>
                <w:szCs w:val="24"/>
              </w:rPr>
              <w:t xml:space="preserve">Consumer-aligned</w:t>
            </w:r>
          </w:p>
          <w:p>
            <w:pPr>
              <w:spacing w:after="0" w:before="0"/>
              <w:jc w:val="center"/>
            </w:pPr>
            <w:r>
              <w:rPr>
                <w:i/>
                <w:iCs/>
                <w:color w:val="333333"/>
                <w:sz w:val="18"/>
                <w:szCs w:val="18"/>
              </w:rPr>
              <w:t xml:space="preserve">Built for a specific desk</w:t>
            </w:r>
          </w:p>
        </w:tc>
      </w:tr>
    </w:tbl>
    <w:p>
      <w:pPr>
        <w:spacing w:after="160"/>
      </w:pPr>
      <w:r>
        <w:t xml:space="preserve"> </w:t>
      </w:r>
    </w:p>
    <w:p>
      <w:pPr>
        <w:spacing w:after="40" w:before="120"/>
      </w:pPr>
      <w:r>
        <w:rPr>
          <w:rFonts w:ascii="Arial" w:cs="Arial" w:eastAsia="Arial" w:hAnsi="Arial"/>
          <w:b/>
          <w:bCs/>
          <w:sz w:val="22"/>
          <w:szCs w:val="22"/>
        </w:rPr>
        <w:t xml:space="preserve">Foundational</w:t>
      </w:r>
    </w:p>
    <w:p>
      <w:pPr>
        <w:spacing w:after="80" w:before="80"/>
      </w:pPr>
      <w:r>
        <w:rPr>
          <w:rFonts w:ascii="Arial" w:cs="Arial" w:eastAsia="Arial" w:hAnsi="Arial"/>
          <w:sz w:val="22"/>
          <w:szCs w:val="22"/>
        </w:rPr>
        <w:t xml:space="preserve">Sourced from a single producing application. Represents that application's data in contract-bound form. Example: Collateral Position, produced by CMOS and surfaced as a contracted product for downstream use.</w:t>
      </w:r>
    </w:p>
    <w:p>
      <w:pPr>
        <w:spacing w:after="40" w:before="80"/>
      </w:pPr>
      <w:r>
        <w:rPr>
          <w:rFonts w:ascii="Arial" w:cs="Arial" w:eastAsia="Arial" w:hAnsi="Arial"/>
          <w:b/>
          <w:bCs/>
          <w:sz w:val="22"/>
          <w:szCs w:val="22"/>
        </w:rPr>
        <w:t xml:space="preserve">Derived</w:t>
      </w:r>
    </w:p>
    <w:p>
      <w:pPr>
        <w:spacing w:after="80" w:before="80"/>
      </w:pPr>
      <w:r>
        <w:rPr>
          <w:rFonts w:ascii="Arial" w:cs="Arial" w:eastAsia="Arial" w:hAnsi="Arial"/>
          <w:sz w:val="22"/>
          <w:szCs w:val="22"/>
        </w:rPr>
        <w:t xml:space="preserve">Built from multiple foundational products. Joins, aggregations, or computations across data from more than one application or domain. Example: Collateralized Funding View, which combines Liquidity's LCR Buffer with CMOS's Collateral Exposure to give the funding desk a unified view.</w:t>
      </w:r>
    </w:p>
    <w:p>
      <w:pPr>
        <w:spacing w:after="40" w:before="80"/>
      </w:pPr>
      <w:r>
        <w:rPr>
          <w:rFonts w:ascii="Arial" w:cs="Arial" w:eastAsia="Arial" w:hAnsi="Arial"/>
          <w:b/>
          <w:bCs/>
          <w:sz w:val="22"/>
          <w:szCs w:val="22"/>
        </w:rPr>
        <w:t xml:space="preserve">Consumer-aligned</w:t>
      </w:r>
    </w:p>
    <w:p>
      <w:pPr>
        <w:spacing w:after="120" w:before="80"/>
      </w:pPr>
      <w:r>
        <w:rPr>
          <w:rFonts w:ascii="Arial" w:cs="Arial" w:eastAsia="Arial" w:hAnsi="Arial"/>
          <w:sz w:val="22"/>
          <w:szCs w:val="22"/>
        </w:rPr>
        <w:t xml:space="preserve">Built for a specific desk or use case. Tailored shape, tailored grain, tailored attributes. Carries the same contract discipline as other products but serves one named consumer. Example: a regulatory submission cut shaped exactly for the regulatory reporting team's format.</w:t>
      </w:r>
    </w:p>
    <w:p>
      <w:pPr>
        <w:pStyle w:val="Heading2"/>
        <w:spacing w:after="120" w:before="240"/>
      </w:pPr>
      <w:r>
        <w:rPr>
          <w:b/>
          <w:bCs/>
          <w:color w:val="1F4E78"/>
          <w:sz w:val="26"/>
          <w:szCs w:val="26"/>
        </w:rPr>
        <w:t xml:space="preserve">Archetypes are tags, not separate spaces</w:t>
      </w:r>
    </w:p>
    <w:p>
      <w:pPr>
        <w:spacing w:after="80" w:before="80"/>
      </w:pPr>
      <w:r>
        <w:rPr>
          <w:rFonts w:ascii="Arial" w:cs="Arial" w:eastAsia="Arial" w:hAnsi="Arial"/>
          <w:sz w:val="22"/>
          <w:szCs w:val="22"/>
        </w:rPr>
        <w:t xml:space="preserve">These three categories are not separate schemas, separate folders, or separate sections of the marketplace. All products live together in the same Products view in Databricks. The archetype is recorded as a Unity Catalog tag on each product:</w:t>
      </w:r>
    </w:p>
    <w:p>
      <w:pPr>
        <w:spacing w:after="80"/>
      </w:pPr>
      <w:r>
        <w:t xml:space="preserve"> </w:t>
      </w:r>
    </w:p>
    <w:p>
      <w:pPr>
        <w:pStyle w:val="ListParagraph"/>
        <w:numPr>
          <w:ilvl w:val="0"/>
          <w:numId w:val="2"/>
        </w:numPr>
        <w:spacing w:after="40" w:before="40"/>
      </w:pPr>
      <w:r>
        <w:rPr>
          <w:rFonts w:ascii="Consolas" w:cs="Consolas" w:eastAsia="Consolas" w:hAnsi="Consolas"/>
          <w:color w:val="1F4E78"/>
          <w:sz w:val="22"/>
          <w:szCs w:val="22"/>
        </w:rPr>
        <w:t xml:space="preserve">archetype = foundational</w:t>
      </w:r>
      <w:r>
        <w:rPr>
          <w:sz w:val="22"/>
          <w:szCs w:val="22"/>
        </w:rPr>
        <w:t xml:space="preserve">  — sourced from one application</w:t>
      </w:r>
    </w:p>
    <w:p>
      <w:pPr>
        <w:pStyle w:val="ListParagraph"/>
        <w:numPr>
          <w:ilvl w:val="0"/>
          <w:numId w:val="2"/>
        </w:numPr>
        <w:spacing w:after="40" w:before="40"/>
      </w:pPr>
      <w:r>
        <w:rPr>
          <w:rFonts w:ascii="Consolas" w:cs="Consolas" w:eastAsia="Consolas" w:hAnsi="Consolas"/>
          <w:color w:val="1F4E78"/>
          <w:sz w:val="22"/>
          <w:szCs w:val="22"/>
        </w:rPr>
        <w:t xml:space="preserve">archetype = derived</w:t>
      </w:r>
      <w:r>
        <w:rPr>
          <w:sz w:val="22"/>
          <w:szCs w:val="22"/>
        </w:rPr>
        <w:t xml:space="preserve">  — built from multiple foundational products</w:t>
      </w:r>
    </w:p>
    <w:p>
      <w:pPr>
        <w:pStyle w:val="ListParagraph"/>
        <w:numPr>
          <w:ilvl w:val="0"/>
          <w:numId w:val="2"/>
        </w:numPr>
        <w:spacing w:after="40" w:before="40"/>
      </w:pPr>
      <w:r>
        <w:rPr>
          <w:rFonts w:ascii="Consolas" w:cs="Consolas" w:eastAsia="Consolas" w:hAnsi="Consolas"/>
          <w:color w:val="1F4E78"/>
          <w:sz w:val="22"/>
          <w:szCs w:val="22"/>
        </w:rPr>
        <w:t xml:space="preserve">archetype = consumer_aligned</w:t>
      </w:r>
      <w:r>
        <w:rPr>
          <w:sz w:val="22"/>
          <w:szCs w:val="22"/>
        </w:rPr>
        <w:t xml:space="preserve">  — built for a specific desk</w:t>
      </w:r>
    </w:p>
    <w:p>
      <w:pPr>
        <w:spacing w:after="200" w:before="120"/>
      </w:pPr>
      <w:r>
        <w:rPr>
          <w:rFonts w:ascii="Arial" w:cs="Arial" w:eastAsia="Arial" w:hAnsi="Arial"/>
          <w:sz w:val="22"/>
          <w:szCs w:val="22"/>
        </w:rPr>
        <w:t xml:space="preserve">The catalog UI uses the tag to filter and group products — show me only foundational products, or show me everything built for the funding desk. Same approach as the capability tag, which is what organizes the marketplace by business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4"/>
              <w:left w:val="single" w:color="1F4E78" w:sz="24"/>
              <w:bottom w:val="single" w:color="1F4E78" w:sz="4"/>
              <w:right w:val="single" w:color="1F4E78" w:sz="4"/>
            </w:tcBorders>
            <w:shd w:fill="D9E8F5" w:color="auto" w:val="clear"/>
            <w:tcMar>
              <w:top w:type="dxa" w:w="160"/>
              <w:left w:type="dxa" w:w="200"/>
              <w:bottom w:type="dxa" w:w="160"/>
              <w:right w:type="dxa" w:w="200"/>
            </w:tcMar>
          </w:tcPr>
          <w:p>
            <w:r>
              <w:rPr>
                <w:b/>
                <w:bCs/>
                <w:color w:val="1F4E78"/>
                <w:sz w:val="22"/>
                <w:szCs w:val="22"/>
              </w:rPr>
              <w:t xml:space="preserve">Capability is the primary navigation axis. Archetype is a secondary filter. Both are UC tags on the product — not separate locations in the warehouse.</w:t>
            </w:r>
          </w:p>
        </w:tc>
      </w:tr>
    </w:tbl>
    <w:p>
      <w:pPr>
        <w:spacing w:after="200"/>
      </w:pPr>
      <w:r>
        <w:t xml:space="preserve"> </w:t>
      </w:r>
    </w:p>
    <w:p>
      <w:pPr>
        <w:pStyle w:val="Heading1"/>
        <w:spacing w:after="160" w:before="320"/>
      </w:pPr>
      <w:r>
        <w:rPr>
          <w:b/>
          <w:bCs/>
          <w:color w:val="1F4E78"/>
          <w:sz w:val="32"/>
          <w:szCs w:val="32"/>
        </w:rPr>
        <w:t xml:space="preserve">Every product is data plus contract</w:t>
      </w:r>
    </w:p>
    <w:p>
      <w:pPr>
        <w:spacing w:after="80" w:before="80"/>
      </w:pPr>
      <w:r>
        <w:rPr>
          <w:rFonts w:ascii="Arial" w:cs="Arial" w:eastAsia="Arial" w:hAnsi="Arial"/>
          <w:sz w:val="22"/>
          <w:szCs w:val="22"/>
        </w:rPr>
        <w:t xml:space="preserve">Each product exists in two places at once. The data sits in Databricks as physical tables (or views, or materialized tables) under Unity Catalog governance. The contract lives in Git as a YAML specification, surfaced as a human-readable child page in this marketplace.</w:t>
      </w:r>
    </w:p>
    <w:p>
      <w:pPr>
        <w:spacing w:after="160"/>
      </w:pPr>
      <w:r>
        <w:t xml:space="preserve"> </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100"/>
        <w:gridCol w:w="600"/>
        <w:gridCol w:w="4100"/>
      </w:tblGrid>
      <w:tr>
        <w:tc>
          <w:tcPr>
            <w:tcW w:type="dxa" w:w="4100"/>
            <w:tcBorders>
              <w:top w:val="single" w:color="5B9BD5" w:sz="8"/>
              <w:left w:val="single" w:color="5B9BD5" w:sz="8"/>
              <w:bottom w:val="single" w:color="5B9BD5" w:sz="8"/>
              <w:right w:val="single" w:color="5B9BD5" w:sz="8"/>
            </w:tcBorders>
            <w:shd w:fill="D9E8F5" w:color="auto" w:val="clear"/>
            <w:tcMar>
              <w:top w:type="dxa" w:w="200"/>
              <w:left w:type="dxa" w:w="200"/>
              <w:bottom w:type="dxa" w:w="200"/>
              <w:right w:type="dxa" w:w="200"/>
            </w:tcMar>
            <w:vAlign w:val="center"/>
          </w:tcPr>
          <w:p>
            <w:pPr>
              <w:jc w:val="center"/>
            </w:pPr>
            <w:r>
              <w:rPr>
                <w:b/>
                <w:bCs/>
                <w:color w:val="1F4E78"/>
                <w:sz w:val="28"/>
                <w:szCs w:val="28"/>
              </w:rPr>
              <w:t xml:space="preserve">Data</w:t>
            </w:r>
          </w:p>
          <w:p>
            <w:pPr>
              <w:spacing w:before="80"/>
              <w:jc w:val="center"/>
            </w:pPr>
            <w:r>
              <w:rPr>
                <w:color w:val="333333"/>
                <w:sz w:val="20"/>
                <w:szCs w:val="20"/>
              </w:rPr>
              <w:t xml:space="preserve">Physical tables in Databricks</w:t>
            </w:r>
          </w:p>
          <w:p>
            <w:pPr>
              <w:spacing w:before="60"/>
              <w:jc w:val="center"/>
            </w:pPr>
            <w:r>
              <w:rPr>
                <w:rFonts w:ascii="Consolas" w:cs="Consolas" w:eastAsia="Consolas" w:hAnsi="Consolas"/>
                <w:color w:val="1F4E78"/>
                <w:sz w:val="18"/>
                <w:szCs w:val="18"/>
              </w:rPr>
              <w:t xml:space="preserve">risk_warehouse.products.*</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jc w:val="center"/>
            </w:pPr>
            <w:r>
              <w:rPr>
                <w:b/>
                <w:bCs/>
                <w:color w:val="E0A030"/>
                <w:sz w:val="48"/>
                <w:szCs w:val="48"/>
              </w:rPr>
              <w:t xml:space="preserve">↔</w:t>
            </w:r>
          </w:p>
        </w:tc>
        <w:tc>
          <w:tcPr>
            <w:tcW w:type="dxa" w:w="4100"/>
            <w:tcBorders>
              <w:top w:val="single" w:color="E0A030" w:sz="8"/>
              <w:left w:val="single" w:color="E0A030" w:sz="8"/>
              <w:bottom w:val="single" w:color="E0A030" w:sz="8"/>
              <w:right w:val="single" w:color="E0A030" w:sz="8"/>
            </w:tcBorders>
            <w:shd w:fill="FFF4CE" w:color="auto" w:val="clear"/>
            <w:tcMar>
              <w:top w:type="dxa" w:w="200"/>
              <w:left w:type="dxa" w:w="200"/>
              <w:bottom w:type="dxa" w:w="200"/>
              <w:right w:type="dxa" w:w="200"/>
            </w:tcMar>
            <w:vAlign w:val="center"/>
          </w:tcPr>
          <w:p>
            <w:pPr>
              <w:jc w:val="center"/>
            </w:pPr>
            <w:r>
              <w:rPr>
                <w:b/>
                <w:bCs/>
                <w:color w:val="664D03"/>
                <w:sz w:val="28"/>
                <w:szCs w:val="28"/>
              </w:rPr>
              <w:t xml:space="preserve">Contract</w:t>
            </w:r>
          </w:p>
          <w:p>
            <w:pPr>
              <w:spacing w:before="80"/>
              <w:jc w:val="center"/>
            </w:pPr>
            <w:r>
              <w:rPr>
                <w:color w:val="333333"/>
                <w:sz w:val="20"/>
                <w:szCs w:val="20"/>
              </w:rPr>
              <w:t xml:space="preserve">YAML specification in Git</w:t>
            </w:r>
          </w:p>
          <w:p>
            <w:pPr>
              <w:spacing w:before="60"/>
              <w:jc w:val="center"/>
            </w:pPr>
            <w:r>
              <w:rPr>
                <w:i/>
                <w:iCs/>
                <w:color w:val="664D03"/>
                <w:sz w:val="18"/>
                <w:szCs w:val="18"/>
              </w:rPr>
              <w:t xml:space="preserve">Surfaced as a Confluence page</w:t>
            </w:r>
          </w:p>
        </w:tc>
      </w:tr>
    </w:tbl>
    <w:p>
      <w:pPr>
        <w:spacing w:after="200"/>
      </w:pPr>
      <w:r>
        <w:t xml:space="preserve"> </w:t>
      </w:r>
    </w:p>
    <w:p>
      <w:pPr>
        <w:spacing w:after="120" w:before="80"/>
      </w:pPr>
      <w:r>
        <w:rPr>
          <w:rFonts w:ascii="Arial" w:cs="Arial" w:eastAsia="Arial" w:hAnsi="Arial"/>
          <w:sz w:val="22"/>
          <w:szCs w:val="22"/>
        </w:rPr>
        <w:t xml:space="preserve">The two stay in sync because the contract YAML is the source of truth. When stewards update the YAML, the changes flow automatically to Unity Catalog tags, to Collibra, and to this Confluence page. Anyone looking at the data in Databricks can find the contract; anyone reading the contract can find the data.</w:t>
      </w:r>
    </w:p>
    <w:p>
      <w:pPr>
        <w:pStyle w:val="Heading1"/>
        <w:spacing w:after="160" w:before="320"/>
      </w:pPr>
      <w:r>
        <w:rPr>
          <w:b/>
          <w:bCs/>
          <w:color w:val="1F4E78"/>
          <w:sz w:val="32"/>
          <w:szCs w:val="32"/>
        </w:rPr>
        <w:t xml:space="preserve">How to navigate this marketplace</w:t>
      </w:r>
    </w:p>
    <w:p>
      <w:pPr>
        <w:pStyle w:val="ListParagraph"/>
        <w:numPr>
          <w:ilvl w:val="0"/>
          <w:numId w:val="2"/>
        </w:numPr>
        <w:spacing w:after="40" w:before="40"/>
      </w:pPr>
      <w:r>
        <w:rPr>
          <w:sz w:val="22"/>
          <w:szCs w:val="22"/>
        </w:rPr>
        <w:t xml:space="preserve">Browse by capability — each capability has child pages listing the products under it</w:t>
      </w:r>
    </w:p>
    <w:p>
      <w:pPr>
        <w:pStyle w:val="ListParagraph"/>
        <w:numPr>
          <w:ilvl w:val="0"/>
          <w:numId w:val="2"/>
        </w:numPr>
        <w:spacing w:after="40" w:before="40"/>
      </w:pPr>
      <w:r>
        <w:rPr>
          <w:sz w:val="22"/>
          <w:szCs w:val="22"/>
        </w:rPr>
        <w:t xml:space="preserve">Open any product's page to see its contract — schema, grain, owners, SLA, lineage, quality rules</w:t>
      </w:r>
    </w:p>
    <w:p>
      <w:pPr>
        <w:pStyle w:val="ListParagraph"/>
        <w:numPr>
          <w:ilvl w:val="0"/>
          <w:numId w:val="2"/>
        </w:numPr>
        <w:spacing w:after="40" w:before="40"/>
      </w:pPr>
      <w:r>
        <w:rPr>
          <w:sz w:val="22"/>
          <w:szCs w:val="22"/>
        </w:rPr>
        <w:t xml:space="preserve">Need access? Each product page has a Subscribe link that registers your team as a consumer</w:t>
      </w:r>
    </w:p>
    <w:p>
      <w:pPr>
        <w:pStyle w:val="ListParagraph"/>
        <w:numPr>
          <w:ilvl w:val="0"/>
          <w:numId w:val="2"/>
        </w:numPr>
        <w:spacing w:after="40" w:before="40"/>
      </w:pPr>
      <w:r>
        <w:rPr>
          <w:sz w:val="22"/>
          <w:szCs w:val="22"/>
        </w:rPr>
        <w:t xml:space="preserve">Questions? Each product page lists the steward email — contact the owner directly</w:t>
      </w:r>
    </w:p>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2"/>
                <w:szCs w:val="22"/>
              </w:rPr>
              <w:t xml:space="preserve">The contract is what makes data a product. Without a contract, it's just a table. With one, it's something you can build on.</w:t>
            </w:r>
          </w:p>
        </w:tc>
      </w:tr>
    </w:tbl>
    <w:p>
      <w:pPr>
        <w:pStyle w:val="Heading1"/>
        <w:spacing w:after="160" w:before="320"/>
      </w:pPr>
      <w:r>
        <w:rPr>
          <w:b/>
          <w:bCs/>
          <w:color w:val="1F4E78"/>
          <w:sz w:val="32"/>
          <w:szCs w:val="32"/>
        </w:rPr>
        <w:t xml:space="preserve">Capabilities (child pages)</w:t>
      </w:r>
    </w:p>
    <w:p>
      <w:pPr>
        <w:spacing w:after="80" w:before="80"/>
      </w:pPr>
      <w:r>
        <w:rPr>
          <w:rFonts w:ascii="Arial" w:cs="Arial" w:eastAsia="Arial" w:hAnsi="Arial"/>
          <w:sz w:val="22"/>
          <w:szCs w:val="22"/>
        </w:rPr>
        <w:t xml:space="preserve">The following capability pages contain the products organized by business capability. Click through to browse products and view their contracts.</w:t>
      </w:r>
    </w:p>
    <w:p>
      <w:pPr>
        <w:pStyle w:val="ListParagraph"/>
        <w:numPr>
          <w:ilvl w:val="0"/>
          <w:numId w:val="2"/>
        </w:numPr>
        <w:spacing w:after="40" w:before="40"/>
      </w:pPr>
      <w:r>
        <w:rPr>
          <w:sz w:val="22"/>
          <w:szCs w:val="22"/>
        </w:rPr>
        <w:t xml:space="preserve">Collateral Management</w:t>
      </w:r>
    </w:p>
    <w:p>
      <w:pPr>
        <w:pStyle w:val="ListParagraph"/>
        <w:numPr>
          <w:ilvl w:val="0"/>
          <w:numId w:val="2"/>
        </w:numPr>
        <w:spacing w:after="40" w:before="40"/>
      </w:pPr>
      <w:r>
        <w:rPr>
          <w:sz w:val="22"/>
          <w:szCs w:val="22"/>
        </w:rPr>
        <w:t xml:space="preserve">Liquidity &amp; Funding Risk</w:t>
      </w:r>
    </w:p>
    <w:p>
      <w:pPr>
        <w:pStyle w:val="ListParagraph"/>
        <w:numPr>
          <w:ilvl w:val="0"/>
          <w:numId w:val="2"/>
        </w:numPr>
        <w:spacing w:after="40" w:before="40"/>
      </w:pPr>
      <w:r>
        <w:rPr>
          <w:sz w:val="22"/>
          <w:szCs w:val="22"/>
        </w:rPr>
        <w:t xml:space="preserve">Counterparty Credit Risk</w:t>
      </w:r>
    </w:p>
    <w:p>
      <w:pPr>
        <w:pStyle w:val="ListParagraph"/>
        <w:numPr>
          <w:ilvl w:val="0"/>
          <w:numId w:val="2"/>
        </w:numPr>
        <w:spacing w:after="40" w:before="40"/>
      </w:pPr>
      <w:r>
        <w:rPr>
          <w:sz w:val="22"/>
          <w:szCs w:val="22"/>
        </w:rPr>
        <w:t xml:space="preserve">Market Risk</w:t>
      </w:r>
    </w:p>
    <w:p>
      <w:pPr>
        <w:pStyle w:val="ListParagraph"/>
        <w:numPr>
          <w:ilvl w:val="0"/>
          <w:numId w:val="2"/>
        </w:numPr>
        <w:spacing w:after="40" w:before="40"/>
      </w:pPr>
      <w:r>
        <w:rPr>
          <w:sz w:val="22"/>
          <w:szCs w:val="22"/>
        </w:rPr>
        <w:t xml:space="preserve">Settlements &amp; Operational Risk</w:t>
      </w:r>
    </w:p>
    <w:p>
      <w:pPr>
        <w:pStyle w:val="ListParagraph"/>
        <w:numPr>
          <w:ilvl w:val="0"/>
          <w:numId w:val="2"/>
        </w:numPr>
        <w:spacing w:after="40" w:before="40"/>
      </w:pPr>
      <w:r>
        <w:rPr>
          <w:sz w:val="22"/>
          <w:szCs w:val="22"/>
        </w:rPr>
        <w:t xml:space="preserve">Regulatory &amp; Capital</w:t>
      </w:r>
    </w:p>
    <w:p>
      <w:pPr>
        <w:pStyle w:val="ListParagraph"/>
        <w:numPr>
          <w:ilvl w:val="0"/>
          <w:numId w:val="2"/>
        </w:numPr>
        <w:spacing w:after="40" w:before="40"/>
      </w:pPr>
      <w:r>
        <w:rPr>
          <w:sz w:val="22"/>
          <w:szCs w:val="22"/>
        </w:rPr>
        <w:t xml:space="preserve">Reference &amp; Master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2026-05-13T20:57:44.249Z</dcterms:created>
  <dcterms:modified xsi:type="dcterms:W3CDTF">2026-05-13T20:57:44.275Z</dcterms:modified>
</cp:coreProperties>
</file>

<file path=docProps/custom.xml><?xml version="1.0" encoding="utf-8"?>
<Properties xmlns="http://schemas.openxmlformats.org/officeDocument/2006/custom-properties" xmlns:vt="http://schemas.openxmlformats.org/officeDocument/2006/docPropsVTypes"/>
</file>